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36"/>
          <w:szCs w:val="36"/>
        </w:rPr>
      </w:pPr>
      <w:bookmarkStart w:id="0" w:name="_Hlk119488017"/>
      <w:r>
        <w:rPr>
          <w:rFonts w:hint="eastAsia" w:ascii="华文中宋" w:hAnsi="华文中宋" w:eastAsia="华文中宋" w:cs="Times New Roman"/>
          <w:b/>
          <w:sz w:val="52"/>
          <w:szCs w:val="52"/>
        </w:rPr>
        <w:t>开展健康素养提升科普宣传活动项目</w:t>
      </w:r>
    </w:p>
    <w:bookmarkEnd w:id="0"/>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autoSpaceDE w:val="0"/>
        <w:autoSpaceDN w:val="0"/>
        <w:adjustRightInd w:val="0"/>
        <w:jc w:val="center"/>
        <w:rPr>
          <w:rFonts w:hint="eastAsia" w:ascii="华文中宋" w:hAnsi="华文中宋" w:eastAsia="华文中宋" w:cs="仿宋"/>
          <w:b/>
          <w:bCs/>
          <w:sz w:val="56"/>
          <w:szCs w:val="72"/>
        </w:rPr>
      </w:pPr>
      <w:r>
        <w:rPr>
          <w:rFonts w:hint="eastAsia" w:ascii="华文中宋" w:hAnsi="华文中宋" w:eastAsia="华文中宋" w:cs="仿宋"/>
          <w:b/>
          <w:bCs/>
          <w:sz w:val="56"/>
          <w:szCs w:val="72"/>
          <w:lang w:val="zh-CN"/>
        </w:rPr>
        <w:t>比选文件</w:t>
      </w:r>
    </w:p>
    <w:p>
      <w:pPr>
        <w:spacing w:line="360" w:lineRule="auto"/>
        <w:jc w:val="center"/>
        <w:rPr>
          <w:rFonts w:hint="eastAsia" w:ascii="仿宋" w:hAnsi="仿宋" w:eastAsia="仿宋" w:cs="仿宋"/>
          <w:b/>
          <w:sz w:val="28"/>
          <w:szCs w:val="28"/>
        </w:rPr>
      </w:pPr>
    </w:p>
    <w:p>
      <w:pPr>
        <w:spacing w:line="360" w:lineRule="auto"/>
        <w:jc w:val="center"/>
        <w:rPr>
          <w:rFonts w:hint="eastAsia" w:ascii="仿宋" w:hAnsi="仿宋" w:eastAsia="仿宋" w:cs="仿宋"/>
          <w:b/>
          <w:sz w:val="28"/>
          <w:szCs w:val="28"/>
        </w:rPr>
      </w:pPr>
    </w:p>
    <w:p>
      <w:pPr>
        <w:spacing w:line="360" w:lineRule="auto"/>
        <w:jc w:val="center"/>
        <w:rPr>
          <w:rFonts w:hint="eastAsia" w:ascii="华文中宋" w:hAnsi="华文中宋" w:eastAsia="华文中宋" w:cs="仿宋"/>
          <w:b/>
          <w:sz w:val="28"/>
          <w:szCs w:val="36"/>
        </w:rPr>
      </w:pPr>
      <w:bookmarkStart w:id="1" w:name="_Hlk118635279"/>
      <w:r>
        <w:rPr>
          <w:rFonts w:hint="eastAsia" w:ascii="华文中宋" w:hAnsi="华文中宋" w:eastAsia="华文中宋" w:cs="仿宋"/>
          <w:b/>
          <w:sz w:val="28"/>
          <w:szCs w:val="36"/>
        </w:rPr>
        <w:t>项目编号：</w:t>
      </w:r>
      <w:bookmarkEnd w:id="1"/>
      <w:r>
        <w:rPr>
          <w:rFonts w:ascii="华文中宋" w:hAnsi="华文中宋" w:eastAsia="华文中宋" w:cs="仿宋"/>
          <w:b/>
          <w:sz w:val="28"/>
          <w:szCs w:val="36"/>
        </w:rPr>
        <w:t>JSHL-DL-2024CS0</w:t>
      </w:r>
      <w:r>
        <w:rPr>
          <w:rFonts w:hint="eastAsia" w:ascii="华文中宋" w:hAnsi="华文中宋" w:eastAsia="华文中宋" w:cs="仿宋"/>
          <w:b/>
          <w:sz w:val="28"/>
          <w:szCs w:val="36"/>
        </w:rPr>
        <w:t>67</w:t>
      </w:r>
    </w:p>
    <w:p>
      <w:pPr>
        <w:spacing w:line="360" w:lineRule="auto"/>
        <w:jc w:val="center"/>
        <w:rPr>
          <w:rFonts w:hint="eastAsia" w:ascii="仿宋" w:hAnsi="仿宋" w:eastAsia="仿宋" w:cs="仿宋"/>
          <w:b/>
          <w:sz w:val="28"/>
          <w:szCs w:val="28"/>
        </w:rPr>
      </w:pPr>
    </w:p>
    <w:p>
      <w:pPr>
        <w:autoSpaceDE w:val="0"/>
        <w:autoSpaceDN w:val="0"/>
        <w:adjustRightInd w:val="0"/>
        <w:jc w:val="center"/>
        <w:rPr>
          <w:rFonts w:hint="eastAsia" w:ascii="仿宋" w:hAnsi="仿宋" w:eastAsia="仿宋" w:cs="仿宋"/>
          <w:szCs w:val="21"/>
        </w:rPr>
      </w:pPr>
      <w:r>
        <w:rPr>
          <w:rFonts w:ascii="仿宋" w:hAnsi="仿宋" w:eastAsia="仿宋" w:cs="仿宋"/>
          <w:kern w:val="0"/>
          <w:sz w:val="20"/>
          <w:szCs w:val="20"/>
          <w:lang w:val="zh-CN"/>
        </w:rPr>
        <w:object>
          <v:shape id="_x0000_i1025" o:spt="75" type="#_x0000_t75" style="height:129.75pt;width:165.75pt;" o:ole="t" filled="f" o:preferrelative="t" stroked="f" coordsize="21600,21600">
            <v:path/>
            <v:fill on="f" focussize="0,0"/>
            <v:stroke on="f" joinstyle="miter"/>
            <v:imagedata r:id="rId6" o:title=""/>
            <o:lock v:ext="edit" aspectratio="t"/>
            <w10:wrap type="none"/>
            <w10:anchorlock/>
          </v:shape>
          <o:OLEObject Type="Embed" ProgID="MS_ClipArt_Gallery.5" ShapeID="_x0000_i1025" DrawAspect="Content" ObjectID="_1468075725" r:id="rId5">
            <o:LockedField>false</o:LockedField>
          </o:OLEObject>
        </w:object>
      </w:r>
    </w:p>
    <w:p>
      <w:pPr>
        <w:spacing w:line="360" w:lineRule="auto"/>
        <w:rPr>
          <w:rFonts w:hint="eastAsia" w:ascii="仿宋" w:hAnsi="仿宋" w:eastAsia="仿宋" w:cs="仿宋"/>
          <w:b/>
          <w:sz w:val="28"/>
          <w:szCs w:val="28"/>
        </w:rPr>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pPr>
              <w:spacing w:line="560" w:lineRule="exact"/>
              <w:jc w:val="center"/>
              <w:rPr>
                <w:rFonts w:hint="eastAsia"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南通市卫生健康委员会</w:t>
            </w:r>
          </w:p>
        </w:tc>
        <w:tc>
          <w:tcPr>
            <w:tcW w:w="992" w:type="dxa"/>
            <w:vMerge w:val="restart"/>
            <w:tcBorders>
              <w:tl2br w:val="nil"/>
              <w:tr2bl w:val="nil"/>
            </w:tcBorders>
            <w:vAlign w:val="center"/>
          </w:tcPr>
          <w:p>
            <w:pPr>
              <w:spacing w:line="560" w:lineRule="exact"/>
              <w:rPr>
                <w:rFonts w:hint="eastAsia"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Borders>
              <w:tl2br w:val="nil"/>
              <w:tr2bl w:val="nil"/>
            </w:tcBorders>
          </w:tcPr>
          <w:p>
            <w:pPr>
              <w:spacing w:line="560" w:lineRule="exact"/>
              <w:jc w:val="center"/>
              <w:rPr>
                <w:rFonts w:hint="eastAsia"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江苏华凌科技咨询有限公司</w:t>
            </w:r>
          </w:p>
        </w:tc>
        <w:tc>
          <w:tcPr>
            <w:tcW w:w="992" w:type="dxa"/>
            <w:vMerge w:val="continue"/>
            <w:tcBorders>
              <w:tl2br w:val="nil"/>
              <w:tr2bl w:val="nil"/>
            </w:tcBorders>
          </w:tcPr>
          <w:p>
            <w:pPr>
              <w:spacing w:line="560" w:lineRule="exact"/>
              <w:jc w:val="center"/>
              <w:rPr>
                <w:rFonts w:hint="eastAsia" w:ascii="华文中宋" w:hAnsi="华文中宋" w:eastAsia="华文中宋" w:cs="仿宋"/>
                <w:b/>
                <w:spacing w:val="20"/>
                <w:kern w:val="0"/>
                <w:sz w:val="28"/>
                <w:szCs w:val="28"/>
              </w:rPr>
            </w:pPr>
          </w:p>
        </w:tc>
      </w:tr>
    </w:tbl>
    <w:p>
      <w:pPr>
        <w:spacing w:line="560" w:lineRule="exact"/>
        <w:jc w:val="center"/>
        <w:rPr>
          <w:rFonts w:hint="eastAsia" w:ascii="华文中宋" w:hAnsi="华文中宋" w:eastAsia="华文中宋" w:cs="仿宋"/>
          <w:b/>
          <w:sz w:val="28"/>
          <w:szCs w:val="28"/>
        </w:rPr>
      </w:pPr>
      <w:r>
        <w:rPr>
          <w:rFonts w:hint="eastAsia" w:ascii="华文中宋" w:hAnsi="华文中宋" w:eastAsia="华文中宋" w:cs="仿宋"/>
          <w:b/>
          <w:sz w:val="28"/>
          <w:szCs w:val="28"/>
        </w:rPr>
        <w:t>二○二四年十一月</w:t>
      </w:r>
      <w:r>
        <w:rPr>
          <w:rFonts w:hint="eastAsia" w:ascii="华文中宋" w:hAnsi="华文中宋" w:eastAsia="华文中宋" w:cs="仿宋"/>
          <w:b/>
          <w:sz w:val="28"/>
          <w:szCs w:val="28"/>
          <w:lang w:val="en-US" w:eastAsia="zh-CN"/>
        </w:rPr>
        <w:t>二十</w:t>
      </w:r>
      <w:r>
        <w:rPr>
          <w:rFonts w:hint="eastAsia" w:ascii="华文中宋" w:hAnsi="华文中宋" w:eastAsia="华文中宋" w:cs="仿宋"/>
          <w:b/>
          <w:sz w:val="28"/>
          <w:szCs w:val="28"/>
        </w:rPr>
        <w:t>日</w:t>
      </w:r>
    </w:p>
    <w:p>
      <w:pPr>
        <w:pBdr>
          <w:bottom w:val="single" w:color="auto" w:sz="4" w:space="1"/>
        </w:pBdr>
        <w:adjustRightInd w:val="0"/>
        <w:snapToGrid w:val="0"/>
        <w:spacing w:line="520" w:lineRule="exact"/>
        <w:ind w:left="-158" w:leftChars="-75"/>
        <w:rPr>
          <w:rFonts w:hint="eastAsia" w:ascii="华文中宋" w:hAnsi="华文中宋" w:eastAsia="华文中宋" w:cs="仿宋"/>
          <w:b/>
          <w:snapToGrid w:val="0"/>
          <w:sz w:val="28"/>
          <w:szCs w:val="28"/>
          <w:u w:val="single"/>
        </w:rPr>
      </w:pPr>
      <w:r>
        <w:rPr>
          <w:rFonts w:hint="eastAsia" w:ascii="华文中宋" w:hAnsi="华文中宋" w:eastAsia="华文中宋" w:cs="仿宋"/>
          <w:b/>
          <w:snapToGrid w:val="0"/>
          <w:sz w:val="28"/>
          <w:szCs w:val="28"/>
          <w:u w:val="single"/>
        </w:rPr>
        <w:t xml:space="preserve">                                                             </w:t>
      </w:r>
      <w:r>
        <w:rPr>
          <w:rFonts w:ascii="华文中宋" w:hAnsi="华文中宋" w:eastAsia="华文中宋" w:cs="仿宋"/>
          <w:b/>
          <w:snapToGrid w:val="0"/>
          <w:sz w:val="28"/>
          <w:szCs w:val="28"/>
          <w:u w:val="single"/>
        </w:rPr>
        <w:t xml:space="preserve">                                    </w:t>
      </w:r>
      <w:r>
        <w:rPr>
          <w:rFonts w:hint="eastAsia" w:ascii="华文中宋" w:hAnsi="华文中宋" w:eastAsia="华文中宋" w:cs="仿宋"/>
          <w:b/>
          <w:snapToGrid w:val="0"/>
          <w:sz w:val="28"/>
          <w:szCs w:val="28"/>
          <w:u w:val="single"/>
        </w:rPr>
        <w:t xml:space="preserve">  </w:t>
      </w:r>
    </w:p>
    <w:p>
      <w:pPr>
        <w:adjustRightInd w:val="0"/>
        <w:snapToGrid w:val="0"/>
        <w:spacing w:line="520" w:lineRule="exact"/>
        <w:ind w:left="-158" w:leftChars="-75"/>
        <w:jc w:val="center"/>
        <w:rPr>
          <w:rFonts w:hint="eastAsia" w:ascii="仿宋" w:hAnsi="仿宋" w:eastAsia="仿宋" w:cs="仿宋"/>
          <w:b/>
          <w:snapToGrid w:val="0"/>
          <w:sz w:val="24"/>
          <w:szCs w:val="24"/>
          <w:u w:val="single"/>
        </w:rPr>
      </w:pPr>
      <w:r>
        <w:rPr>
          <w:rFonts w:hint="eastAsia" w:ascii="华文中宋" w:hAnsi="华文中宋" w:eastAsia="华文中宋" w:cs="仿宋"/>
          <w:b/>
          <w:spacing w:val="20"/>
          <w:sz w:val="24"/>
          <w:szCs w:val="24"/>
        </w:rPr>
        <w:t>地址：南通市崇川路58号2幢503室</w:t>
      </w:r>
      <w:r>
        <w:rPr>
          <w:rFonts w:ascii="华文中宋" w:hAnsi="华文中宋" w:eastAsia="华文中宋" w:cs="仿宋"/>
          <w:b/>
          <w:spacing w:val="20"/>
          <w:sz w:val="24"/>
          <w:szCs w:val="24"/>
        </w:rPr>
        <w:t xml:space="preserve">                          </w:t>
      </w:r>
      <w:r>
        <w:rPr>
          <w:rFonts w:hint="eastAsia" w:ascii="华文中宋" w:hAnsi="华文中宋" w:eastAsia="华文中宋" w:cs="仿宋"/>
          <w:b/>
          <w:spacing w:val="20"/>
          <w:sz w:val="24"/>
          <w:szCs w:val="24"/>
        </w:rPr>
        <w:t>邮编：</w:t>
      </w:r>
      <w:r>
        <w:rPr>
          <w:rFonts w:ascii="华文中宋" w:hAnsi="华文中宋" w:eastAsia="华文中宋" w:cs="仿宋"/>
          <w:b/>
          <w:spacing w:val="20"/>
          <w:sz w:val="24"/>
          <w:szCs w:val="24"/>
        </w:rPr>
        <w:t>226001</w:t>
      </w:r>
      <w:r>
        <w:rPr>
          <w:rFonts w:hint="eastAsia" w:ascii="仿宋" w:hAnsi="仿宋" w:eastAsia="仿宋" w:cs="仿宋"/>
          <w:b/>
          <w:bCs/>
          <w:sz w:val="40"/>
          <w:szCs w:val="40"/>
        </w:rPr>
        <w:br w:type="page"/>
      </w:r>
    </w:p>
    <w:p>
      <w:pPr>
        <w:autoSpaceDE w:val="0"/>
        <w:autoSpaceDN w:val="0"/>
        <w:adjustRightInd w:val="0"/>
        <w:spacing w:before="319" w:beforeLines="100" w:after="319" w:afterLines="100" w:line="360" w:lineRule="auto"/>
        <w:jc w:val="center"/>
        <w:outlineLvl w:val="0"/>
        <w:rPr>
          <w:rFonts w:hint="eastAsia" w:ascii="仿宋" w:hAnsi="仿宋" w:eastAsia="仿宋" w:cs="仿宋"/>
          <w:b/>
          <w:bCs/>
          <w:sz w:val="52"/>
          <w:szCs w:val="32"/>
          <w:lang w:val="zh-CN"/>
        </w:rPr>
      </w:pPr>
      <w:r>
        <w:rPr>
          <w:rFonts w:hint="eastAsia" w:ascii="仿宋" w:hAnsi="仿宋" w:eastAsia="仿宋" w:cs="仿宋"/>
          <w:b/>
          <w:bCs/>
          <w:sz w:val="52"/>
          <w:szCs w:val="32"/>
          <w:lang w:val="zh-CN"/>
        </w:rPr>
        <w:t>目录</w:t>
      </w:r>
    </w:p>
    <w:p>
      <w:pPr>
        <w:widowControl/>
        <w:shd w:val="clear" w:color="auto" w:fill="FFFFFF"/>
        <w:spacing w:before="159" w:beforeLines="50" w:after="159" w:afterLines="50"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4"/>
        </w:rPr>
        <w:t>第一部分  比选公告</w:t>
      </w:r>
    </w:p>
    <w:p>
      <w:pPr>
        <w:widowControl/>
        <w:shd w:val="clear" w:color="auto" w:fill="FFFFFF"/>
        <w:spacing w:before="159" w:beforeLines="50" w:after="159" w:afterLines="50" w:line="360" w:lineRule="auto"/>
        <w:ind w:firstLine="562" w:firstLineChars="200"/>
        <w:rPr>
          <w:rFonts w:hint="eastAsia" w:ascii="仿宋" w:hAnsi="仿宋" w:eastAsia="仿宋" w:cs="仿宋"/>
          <w:b/>
          <w:sz w:val="28"/>
          <w:szCs w:val="24"/>
        </w:rPr>
      </w:pPr>
      <w:r>
        <w:rPr>
          <w:rFonts w:hint="eastAsia" w:ascii="仿宋" w:hAnsi="仿宋" w:eastAsia="仿宋" w:cs="仿宋"/>
          <w:b/>
          <w:sz w:val="28"/>
          <w:szCs w:val="24"/>
        </w:rPr>
        <w:t>第二部分  供应商须知</w:t>
      </w:r>
    </w:p>
    <w:p>
      <w:pPr>
        <w:widowControl/>
        <w:shd w:val="clear" w:color="auto" w:fill="FFFFFF"/>
        <w:spacing w:before="159" w:beforeLines="50" w:after="159" w:afterLines="50"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4"/>
        </w:rPr>
        <w:t>第三部分  项目需求</w:t>
      </w:r>
    </w:p>
    <w:p>
      <w:pPr>
        <w:widowControl/>
        <w:shd w:val="clear" w:color="auto" w:fill="FFFFFF"/>
        <w:spacing w:before="159" w:beforeLines="50" w:after="159" w:afterLines="50"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4"/>
        </w:rPr>
        <w:t>第四部分  评审方法和评审标准</w:t>
      </w:r>
    </w:p>
    <w:p>
      <w:pPr>
        <w:widowControl/>
        <w:shd w:val="clear" w:color="auto" w:fill="FFFFFF"/>
        <w:spacing w:before="159" w:beforeLines="50" w:after="159" w:afterLines="50" w:line="360" w:lineRule="auto"/>
        <w:ind w:firstLine="562" w:firstLineChars="200"/>
        <w:jc w:val="left"/>
        <w:rPr>
          <w:rFonts w:hint="eastAsia" w:ascii="仿宋" w:hAnsi="仿宋" w:eastAsia="仿宋" w:cs="仿宋"/>
          <w:b/>
          <w:sz w:val="28"/>
          <w:szCs w:val="24"/>
        </w:rPr>
      </w:pPr>
      <w:r>
        <w:rPr>
          <w:rFonts w:hint="eastAsia" w:ascii="仿宋" w:hAnsi="仿宋" w:eastAsia="仿宋" w:cs="仿宋"/>
          <w:b/>
          <w:sz w:val="28"/>
          <w:szCs w:val="24"/>
        </w:rPr>
        <w:t>第五部分  响应文件组成</w:t>
      </w:r>
    </w:p>
    <w:p>
      <w:pPr>
        <w:widowControl/>
        <w:jc w:val="left"/>
        <w:rPr>
          <w:rFonts w:hint="eastAsia" w:ascii="仿宋" w:hAnsi="仿宋" w:eastAsia="仿宋"/>
          <w:sz w:val="28"/>
          <w:szCs w:val="28"/>
        </w:rPr>
      </w:pPr>
      <w:r>
        <w:rPr>
          <w:rFonts w:ascii="仿宋" w:hAnsi="仿宋" w:eastAsia="仿宋"/>
          <w:sz w:val="28"/>
          <w:szCs w:val="28"/>
        </w:rPr>
        <w:br w:type="page"/>
      </w:r>
    </w:p>
    <w:p>
      <w:pPr>
        <w:pStyle w:val="2"/>
        <w:spacing w:before="159" w:beforeLines="50" w:after="159" w:afterLines="50" w:line="360" w:lineRule="auto"/>
        <w:jc w:val="center"/>
        <w:rPr>
          <w:rFonts w:hint="eastAsia" w:ascii="仿宋" w:hAnsi="仿宋" w:eastAsia="仿宋"/>
          <w:sz w:val="32"/>
          <w:szCs w:val="32"/>
        </w:rPr>
      </w:pPr>
      <w:bookmarkStart w:id="2" w:name="_Hlk117003629"/>
      <w:r>
        <w:rPr>
          <w:rFonts w:hint="eastAsia" w:ascii="仿宋" w:hAnsi="仿宋" w:eastAsia="仿宋"/>
          <w:sz w:val="32"/>
          <w:szCs w:val="32"/>
        </w:rPr>
        <w:t xml:space="preserve">第一部分 </w:t>
      </w:r>
      <w:bookmarkStart w:id="3" w:name="_Hlk81297243"/>
      <w:bookmarkStart w:id="4" w:name="_Hlk103330607"/>
      <w:r>
        <w:rPr>
          <w:rFonts w:hint="eastAsia" w:ascii="仿宋" w:hAnsi="仿宋" w:eastAsia="仿宋"/>
          <w:sz w:val="32"/>
          <w:szCs w:val="32"/>
        </w:rPr>
        <w:t>比选公告</w:t>
      </w:r>
    </w:p>
    <w:bookmarkEnd w:id="3"/>
    <w:p>
      <w:pPr>
        <w:spacing w:line="360" w:lineRule="auto"/>
        <w:ind w:firstLine="480" w:firstLineChars="200"/>
        <w:rPr>
          <w:rFonts w:hint="eastAsia" w:ascii="仿宋" w:hAnsi="仿宋" w:eastAsia="仿宋"/>
          <w:sz w:val="24"/>
          <w:szCs w:val="24"/>
        </w:rPr>
      </w:pPr>
      <w:bookmarkStart w:id="5" w:name="OLE_LINK3"/>
      <w:bookmarkStart w:id="6" w:name="OLE_LINK2"/>
      <w:bookmarkStart w:id="7" w:name="_Hlk117005804"/>
      <w:r>
        <w:rPr>
          <w:rFonts w:hint="eastAsia" w:ascii="仿宋" w:hAnsi="仿宋" w:eastAsia="仿宋"/>
          <w:sz w:val="24"/>
          <w:szCs w:val="24"/>
        </w:rPr>
        <w:t>江苏华凌科技咨询有限公司（以下简称“代理机构”）受南通市卫生健康委员会的委托，就开展健康素养提升科普宣传活动项目（项目编号：</w:t>
      </w:r>
      <w:r>
        <w:rPr>
          <w:rFonts w:ascii="仿宋" w:hAnsi="仿宋" w:eastAsia="仿宋"/>
          <w:sz w:val="24"/>
          <w:szCs w:val="24"/>
        </w:rPr>
        <w:t>JSHL-DL-2024CS0</w:t>
      </w:r>
      <w:r>
        <w:rPr>
          <w:rFonts w:hint="eastAsia" w:ascii="仿宋" w:hAnsi="仿宋" w:eastAsia="仿宋"/>
          <w:sz w:val="24"/>
          <w:szCs w:val="24"/>
        </w:rPr>
        <w:t>6</w:t>
      </w:r>
      <w:r>
        <w:rPr>
          <w:rFonts w:ascii="仿宋" w:hAnsi="仿宋" w:eastAsia="仿宋"/>
          <w:sz w:val="24"/>
          <w:szCs w:val="24"/>
        </w:rPr>
        <w:t>7</w:t>
      </w:r>
      <w:r>
        <w:rPr>
          <w:rFonts w:hint="eastAsia" w:ascii="仿宋" w:hAnsi="仿宋" w:eastAsia="仿宋"/>
          <w:sz w:val="24"/>
          <w:szCs w:val="24"/>
        </w:rPr>
        <w:t>）进行比选采购，欢迎符合条件的供应商参加比选。</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项目概况</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sz w:val="24"/>
          <w:szCs w:val="24"/>
        </w:rPr>
        <w:t>开展健康素养提升科普宣传活动项目</w:t>
      </w:r>
      <w:r>
        <w:rPr>
          <w:rFonts w:hint="eastAsia" w:ascii="仿宋" w:hAnsi="仿宋" w:eastAsia="仿宋" w:cs="仿宋"/>
          <w:sz w:val="24"/>
          <w:szCs w:val="24"/>
        </w:rPr>
        <w:t>的潜在供应商应在</w:t>
      </w:r>
      <w:r>
        <w:rPr>
          <w:rFonts w:hint="eastAsia" w:ascii="仿宋" w:hAnsi="仿宋" w:eastAsia="仿宋" w:cs="仿宋"/>
          <w:sz w:val="24"/>
          <w:szCs w:val="24"/>
          <w:u w:val="single"/>
        </w:rPr>
        <w:t>“南通市卫生健康委员会官网”</w:t>
      </w:r>
      <w:r>
        <w:rPr>
          <w:rFonts w:hint="eastAsia" w:ascii="仿宋" w:hAnsi="仿宋" w:eastAsia="仿宋" w:cs="仿宋"/>
          <w:sz w:val="24"/>
          <w:szCs w:val="24"/>
        </w:rPr>
        <w:t>获取采购文件，并于</w:t>
      </w:r>
      <w:r>
        <w:rPr>
          <w:rFonts w:hint="eastAsia" w:ascii="仿宋" w:hAnsi="仿宋" w:eastAsia="仿宋" w:cs="仿宋"/>
          <w:sz w:val="24"/>
          <w:szCs w:val="24"/>
          <w:u w:val="single"/>
        </w:rPr>
        <w:t>202</w:t>
      </w:r>
      <w:r>
        <w:rPr>
          <w:rFonts w:ascii="仿宋" w:hAnsi="仿宋" w:eastAsia="仿宋" w:cs="仿宋"/>
          <w:sz w:val="24"/>
          <w:szCs w:val="24"/>
          <w:u w:val="single"/>
        </w:rPr>
        <w:t>4</w:t>
      </w:r>
      <w:r>
        <w:rPr>
          <w:rFonts w:hint="eastAsia" w:ascii="仿宋" w:hAnsi="仿宋" w:eastAsia="仿宋" w:cs="仿宋"/>
          <w:sz w:val="24"/>
          <w:szCs w:val="24"/>
          <w:u w:val="single"/>
        </w:rPr>
        <w:t>年11月2</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日14时30分</w:t>
      </w:r>
      <w:r>
        <w:rPr>
          <w:rFonts w:hint="eastAsia" w:ascii="仿宋" w:hAnsi="仿宋" w:eastAsia="仿宋" w:cs="仿宋"/>
          <w:sz w:val="24"/>
          <w:szCs w:val="24"/>
        </w:rPr>
        <w:t>（北京时间）前递交响应文件。</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一、项目基本情况</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项目编号：</w:t>
      </w:r>
      <w:r>
        <w:rPr>
          <w:rFonts w:ascii="仿宋" w:hAnsi="仿宋" w:eastAsia="仿宋" w:cs="仿宋"/>
          <w:sz w:val="24"/>
          <w:szCs w:val="24"/>
        </w:rPr>
        <w:t>JSHL-DL-2024CS0</w:t>
      </w:r>
      <w:r>
        <w:rPr>
          <w:rFonts w:hint="eastAsia" w:ascii="仿宋" w:hAnsi="仿宋" w:eastAsia="仿宋" w:cs="仿宋"/>
          <w:sz w:val="24"/>
          <w:szCs w:val="24"/>
        </w:rPr>
        <w:t>6</w:t>
      </w:r>
      <w:r>
        <w:rPr>
          <w:rFonts w:ascii="仿宋" w:hAnsi="仿宋" w:eastAsia="仿宋" w:cs="仿宋"/>
          <w:sz w:val="24"/>
          <w:szCs w:val="24"/>
        </w:rPr>
        <w:t>7</w:t>
      </w:r>
    </w:p>
    <w:p>
      <w:pPr>
        <w:widowControl/>
        <w:shd w:val="clear" w:color="auto" w:fill="FFFFFF"/>
        <w:spacing w:line="360" w:lineRule="auto"/>
        <w:ind w:firstLine="480" w:firstLineChars="200"/>
        <w:jc w:val="left"/>
        <w:rPr>
          <w:rFonts w:hint="eastAsia" w:ascii="仿宋" w:hAnsi="仿宋" w:eastAsia="仿宋"/>
          <w:sz w:val="24"/>
          <w:szCs w:val="24"/>
        </w:rPr>
      </w:pPr>
      <w:r>
        <w:rPr>
          <w:rFonts w:hint="eastAsia" w:ascii="仿宋" w:hAnsi="仿宋" w:eastAsia="仿宋" w:cs="仿宋"/>
          <w:sz w:val="24"/>
          <w:szCs w:val="24"/>
        </w:rPr>
        <w:t>项目名称：</w:t>
      </w:r>
      <w:r>
        <w:rPr>
          <w:rFonts w:hint="eastAsia" w:ascii="仿宋" w:hAnsi="仿宋" w:eastAsia="仿宋"/>
          <w:sz w:val="24"/>
          <w:szCs w:val="24"/>
        </w:rPr>
        <w:t>开展健康素养提升科普宣传活动项目</w:t>
      </w:r>
    </w:p>
    <w:p>
      <w:pPr>
        <w:widowControl/>
        <w:shd w:val="clear" w:color="auto" w:fill="FFFFFF"/>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项目类型：服务</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sz w:val="24"/>
          <w:szCs w:val="24"/>
        </w:rPr>
        <w:t>所属行业：商务行业</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预算金额：</w:t>
      </w:r>
      <w:r>
        <w:rPr>
          <w:rFonts w:hint="eastAsia" w:ascii="仿宋" w:hAnsi="仿宋" w:eastAsia="仿宋" w:cs="仿宋"/>
          <w:b/>
          <w:bCs/>
          <w:sz w:val="24"/>
          <w:szCs w:val="24"/>
        </w:rPr>
        <w:t>12万元</w:t>
      </w:r>
      <w:r>
        <w:rPr>
          <w:rFonts w:hint="eastAsia" w:ascii="仿宋" w:hAnsi="仿宋" w:eastAsia="仿宋" w:cs="仿宋"/>
          <w:b/>
          <w:sz w:val="24"/>
          <w:szCs w:val="24"/>
        </w:rPr>
        <w:t>，超过采购预算的为无效响应文件。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采购需求：详见比选文件，请仔细研究。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合同履行期限：详见比选文件。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本项目是否接受联合体投标：否。</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本项目是否接受分包：否。</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二、供应商的资格要求：</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1.满足以下资格要求规定，提供承诺函：</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（5）参加采购活动前三年内，在经营活动中没有重大违法记录。</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本项目的特定资格要求：供应商未被“信用中国”网站（www.creditchina.gov.cn）列入失信被执行人、重大税收违法案件当事人名单、采购严重失信行为记录名单。</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三、获取采购文件和供应商响应</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时间：202</w:t>
      </w:r>
      <w:r>
        <w:rPr>
          <w:rFonts w:ascii="仿宋" w:hAnsi="仿宋" w:eastAsia="仿宋" w:cs="仿宋"/>
          <w:sz w:val="24"/>
          <w:szCs w:val="24"/>
        </w:rPr>
        <w:t>4</w:t>
      </w:r>
      <w:r>
        <w:rPr>
          <w:rFonts w:hint="eastAsia" w:ascii="仿宋" w:hAnsi="仿宋" w:eastAsia="仿宋" w:cs="仿宋"/>
          <w:sz w:val="24"/>
          <w:szCs w:val="24"/>
        </w:rPr>
        <w:t>年</w:t>
      </w:r>
      <w:bookmarkStart w:id="95" w:name="_GoBack"/>
      <w:bookmarkEnd w:id="95"/>
      <w:r>
        <w:rPr>
          <w:rFonts w:hint="eastAsia" w:ascii="仿宋" w:hAnsi="仿宋" w:eastAsia="仿宋" w:cs="仿宋"/>
          <w:sz w:val="24"/>
          <w:szCs w:val="24"/>
        </w:rPr>
        <w:t>11月</w:t>
      </w:r>
      <w:r>
        <w:rPr>
          <w:rFonts w:hint="eastAsia" w:ascii="仿宋" w:hAnsi="仿宋" w:eastAsia="仿宋" w:cs="仿宋"/>
          <w:sz w:val="24"/>
          <w:szCs w:val="24"/>
          <w:lang w:val="en-US" w:eastAsia="zh-CN"/>
        </w:rPr>
        <w:t>22</w:t>
      </w:r>
      <w:r>
        <w:rPr>
          <w:rFonts w:hint="eastAsia" w:ascii="仿宋" w:hAnsi="仿宋" w:eastAsia="仿宋" w:cs="仿宋"/>
          <w:sz w:val="24"/>
          <w:szCs w:val="24"/>
        </w:rPr>
        <w:t>日至202</w:t>
      </w:r>
      <w:r>
        <w:rPr>
          <w:rFonts w:ascii="仿宋" w:hAnsi="仿宋" w:eastAsia="仿宋" w:cs="仿宋"/>
          <w:sz w:val="24"/>
          <w:szCs w:val="24"/>
        </w:rPr>
        <w:t>4</w:t>
      </w:r>
      <w:r>
        <w:rPr>
          <w:rFonts w:hint="eastAsia" w:ascii="仿宋" w:hAnsi="仿宋" w:eastAsia="仿宋" w:cs="仿宋"/>
          <w:sz w:val="24"/>
          <w:szCs w:val="24"/>
        </w:rPr>
        <w:t>年11月2</w:t>
      </w:r>
      <w:r>
        <w:rPr>
          <w:rFonts w:hint="eastAsia" w:ascii="仿宋" w:hAnsi="仿宋" w:eastAsia="仿宋" w:cs="仿宋"/>
          <w:sz w:val="24"/>
          <w:szCs w:val="24"/>
          <w:lang w:val="en-US" w:eastAsia="zh-CN"/>
        </w:rPr>
        <w:t>7</w:t>
      </w:r>
      <w:r>
        <w:rPr>
          <w:rFonts w:hint="eastAsia" w:ascii="仿宋" w:hAnsi="仿宋" w:eastAsia="仿宋" w:cs="仿宋"/>
          <w:sz w:val="24"/>
          <w:szCs w:val="24"/>
        </w:rPr>
        <w:t>日，每天上午9:00至11:30，下午13:30至17:00（北京时间，法定节假日除外）</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地点：南通市崇川区崇川路58号2幢504室</w:t>
      </w:r>
    </w:p>
    <w:p>
      <w:pPr>
        <w:widowControl/>
        <w:shd w:val="clear" w:color="auto" w:fill="FFFFFF"/>
        <w:spacing w:line="360" w:lineRule="auto"/>
        <w:ind w:firstLine="480" w:firstLineChars="200"/>
        <w:jc w:val="left"/>
        <w:rPr>
          <w:rFonts w:hint="eastAsia" w:ascii="仿宋" w:hAnsi="仿宋" w:eastAsia="仿宋" w:cs="仿宋"/>
          <w:b/>
          <w:sz w:val="24"/>
          <w:szCs w:val="24"/>
        </w:rPr>
      </w:pPr>
      <w:r>
        <w:rPr>
          <w:rFonts w:hint="eastAsia" w:ascii="仿宋" w:hAnsi="仿宋" w:eastAsia="仿宋" w:cs="仿宋"/>
          <w:sz w:val="24"/>
          <w:szCs w:val="24"/>
        </w:rPr>
        <w:t>方式：线上。供应商法定代表人或授权代表和招标代理机构工作人员（联系人：袁女士，</w:t>
      </w:r>
      <w:r>
        <w:rPr>
          <w:rFonts w:ascii="仿宋" w:hAnsi="仿宋" w:eastAsia="仿宋" w:cs="仿宋"/>
          <w:sz w:val="24"/>
          <w:szCs w:val="24"/>
        </w:rPr>
        <w:t>0513-89078482-8004</w:t>
      </w:r>
      <w:r>
        <w:rPr>
          <w:rFonts w:hint="eastAsia" w:ascii="仿宋" w:hAnsi="仿宋" w:eastAsia="仿宋" w:cs="仿宋"/>
          <w:sz w:val="24"/>
          <w:szCs w:val="24"/>
        </w:rPr>
        <w:t>/</w:t>
      </w:r>
      <w:r>
        <w:rPr>
          <w:rFonts w:ascii="仿宋" w:hAnsi="仿宋" w:eastAsia="仿宋" w:cs="仿宋"/>
          <w:sz w:val="24"/>
          <w:szCs w:val="24"/>
        </w:rPr>
        <w:t>15370652631</w:t>
      </w:r>
      <w:r>
        <w:rPr>
          <w:rFonts w:hint="eastAsia" w:ascii="仿宋" w:hAnsi="仿宋" w:eastAsia="仿宋" w:cs="仿宋"/>
          <w:sz w:val="24"/>
          <w:szCs w:val="24"/>
        </w:rPr>
        <w:t>，邮箱：</w:t>
      </w:r>
      <w:r>
        <w:rPr>
          <w:rFonts w:ascii="仿宋" w:hAnsi="仿宋" w:eastAsia="仿宋" w:cs="仿宋"/>
          <w:sz w:val="24"/>
          <w:szCs w:val="24"/>
        </w:rPr>
        <w:t>jshldl1@jshl2015.com</w:t>
      </w:r>
      <w:r>
        <w:rPr>
          <w:rFonts w:hint="eastAsia" w:ascii="仿宋" w:hAnsi="仿宋" w:eastAsia="仿宋" w:cs="仿宋"/>
          <w:sz w:val="24"/>
          <w:szCs w:val="24"/>
        </w:rPr>
        <w:t>）联系，将采购文件领购申请表加盖公章（见附件），扫描件发至邮箱。</w:t>
      </w:r>
      <w:r>
        <w:rPr>
          <w:rFonts w:hint="eastAsia" w:ascii="仿宋" w:hAnsi="仿宋" w:eastAsia="仿宋" w:cs="仿宋"/>
          <w:b/>
          <w:sz w:val="24"/>
          <w:szCs w:val="24"/>
        </w:rPr>
        <w:t>邮件主题“项目名称简称+公司名称”，邮件内容应包含公司名称全称、联系人、职务、联系电话等，邮件附件命名“附件1采购文件领购申请表，附件2 营业执照”。</w:t>
      </w:r>
      <w:r>
        <w:rPr>
          <w:rFonts w:hint="eastAsia" w:ascii="仿宋" w:hAnsi="仿宋" w:eastAsia="仿宋" w:cs="仿宋"/>
          <w:b/>
          <w:sz w:val="24"/>
          <w:szCs w:val="24"/>
          <w:lang w:val="zh-CN"/>
        </w:rPr>
        <w:t>响应截止时间为202</w:t>
      </w:r>
      <w:r>
        <w:rPr>
          <w:rFonts w:ascii="仿宋" w:hAnsi="仿宋" w:eastAsia="仿宋" w:cs="仿宋"/>
          <w:b/>
          <w:sz w:val="24"/>
          <w:szCs w:val="24"/>
          <w:lang w:val="zh-CN"/>
        </w:rPr>
        <w:t>4</w:t>
      </w:r>
      <w:r>
        <w:rPr>
          <w:rFonts w:hint="eastAsia" w:ascii="仿宋" w:hAnsi="仿宋" w:eastAsia="仿宋" w:cs="仿宋"/>
          <w:b/>
          <w:sz w:val="24"/>
          <w:szCs w:val="24"/>
          <w:lang w:val="zh-CN"/>
        </w:rPr>
        <w:t>年11月</w:t>
      </w:r>
      <w:r>
        <w:rPr>
          <w:rFonts w:hint="eastAsia" w:ascii="仿宋" w:hAnsi="仿宋" w:eastAsia="仿宋" w:cs="仿宋"/>
          <w:b/>
          <w:sz w:val="24"/>
          <w:szCs w:val="24"/>
        </w:rPr>
        <w:t>2</w:t>
      </w:r>
      <w:r>
        <w:rPr>
          <w:rFonts w:hint="eastAsia" w:ascii="仿宋" w:hAnsi="仿宋" w:eastAsia="仿宋" w:cs="仿宋"/>
          <w:b/>
          <w:sz w:val="24"/>
          <w:szCs w:val="24"/>
          <w:lang w:val="en-US" w:eastAsia="zh-CN"/>
        </w:rPr>
        <w:t>7</w:t>
      </w:r>
      <w:r>
        <w:rPr>
          <w:rFonts w:hint="eastAsia" w:ascii="仿宋" w:hAnsi="仿宋" w:eastAsia="仿宋" w:cs="仿宋"/>
          <w:b/>
          <w:sz w:val="24"/>
          <w:szCs w:val="24"/>
          <w:lang w:val="zh-CN"/>
        </w:rPr>
        <w:t>日17:00时</w:t>
      </w:r>
      <w:r>
        <w:rPr>
          <w:rFonts w:hint="eastAsia" w:ascii="仿宋" w:hAnsi="仿宋" w:eastAsia="仿宋" w:cs="仿宋"/>
          <w:sz w:val="24"/>
          <w:szCs w:val="24"/>
          <w:lang w:val="zh-CN"/>
        </w:rPr>
        <w:t>。</w:t>
      </w:r>
      <w:r>
        <w:rPr>
          <w:rFonts w:hint="eastAsia" w:ascii="仿宋" w:hAnsi="仿宋" w:eastAsia="仿宋" w:cs="仿宋"/>
          <w:b/>
          <w:sz w:val="24"/>
          <w:szCs w:val="24"/>
        </w:rPr>
        <w:t>逾期不可响应。</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售价：</w:t>
      </w:r>
      <w:r>
        <w:rPr>
          <w:rFonts w:ascii="仿宋" w:hAnsi="仿宋" w:eastAsia="仿宋" w:cs="仿宋"/>
          <w:sz w:val="24"/>
          <w:szCs w:val="24"/>
        </w:rPr>
        <w:t>0</w:t>
      </w:r>
      <w:r>
        <w:rPr>
          <w:rFonts w:hint="eastAsia" w:ascii="仿宋" w:hAnsi="仿宋" w:eastAsia="仿宋" w:cs="仿宋"/>
          <w:sz w:val="24"/>
          <w:szCs w:val="24"/>
        </w:rPr>
        <w:t>元</w:t>
      </w:r>
      <w:r>
        <w:rPr>
          <w:rFonts w:hint="eastAsia" w:ascii="仿宋" w:hAnsi="仿宋" w:eastAsia="仿宋" w:cs="仿宋"/>
          <w:bCs/>
          <w:sz w:val="24"/>
          <w:szCs w:val="24"/>
        </w:rPr>
        <w:t>（招标文件工本费），按照标段收取，售后不退。可联系招标代理工作人员获取支付宝或微信二维码支付，支付备注中“项目编号+供应商名称简称”。</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四、响应文件提交截止时间、比选时间和地点</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202</w:t>
      </w:r>
      <w:r>
        <w:rPr>
          <w:rFonts w:ascii="仿宋" w:hAnsi="仿宋" w:eastAsia="仿宋" w:cs="仿宋"/>
          <w:sz w:val="24"/>
          <w:szCs w:val="24"/>
        </w:rPr>
        <w:t>4</w:t>
      </w:r>
      <w:r>
        <w:rPr>
          <w:rFonts w:hint="eastAsia" w:ascii="仿宋" w:hAnsi="仿宋" w:eastAsia="仿宋" w:cs="仿宋"/>
          <w:sz w:val="24"/>
          <w:szCs w:val="24"/>
        </w:rPr>
        <w:t>年11月2</w:t>
      </w:r>
      <w:r>
        <w:rPr>
          <w:rFonts w:hint="eastAsia" w:ascii="仿宋" w:hAnsi="仿宋" w:eastAsia="仿宋" w:cs="仿宋"/>
          <w:sz w:val="24"/>
          <w:szCs w:val="24"/>
          <w:lang w:val="en-US" w:eastAsia="zh-CN"/>
        </w:rPr>
        <w:t>8</w:t>
      </w:r>
      <w:r>
        <w:rPr>
          <w:rFonts w:hint="eastAsia" w:ascii="仿宋" w:hAnsi="仿宋" w:eastAsia="仿宋" w:cs="仿宋"/>
          <w:sz w:val="24"/>
          <w:szCs w:val="24"/>
        </w:rPr>
        <w:t>日</w:t>
      </w:r>
      <w:r>
        <w:rPr>
          <w:rFonts w:ascii="仿宋" w:hAnsi="仿宋" w:eastAsia="仿宋" w:cs="仿宋"/>
          <w:sz w:val="24"/>
          <w:szCs w:val="24"/>
        </w:rPr>
        <w:t>1</w:t>
      </w:r>
      <w:r>
        <w:rPr>
          <w:rFonts w:hint="eastAsia" w:ascii="仿宋" w:hAnsi="仿宋" w:eastAsia="仿宋" w:cs="仿宋"/>
          <w:sz w:val="24"/>
          <w:szCs w:val="24"/>
        </w:rPr>
        <w:t>4时30分（北京时间）</w:t>
      </w:r>
    </w:p>
    <w:p>
      <w:pPr>
        <w:widowControl/>
        <w:shd w:val="clear" w:color="auto" w:fill="FFFFFF"/>
        <w:spacing w:line="360" w:lineRule="auto"/>
        <w:ind w:firstLine="480" w:firstLineChars="200"/>
        <w:jc w:val="left"/>
        <w:rPr>
          <w:rFonts w:hint="eastAsia" w:ascii="仿宋" w:hAnsi="仿宋" w:eastAsia="仿宋" w:cs="仿宋"/>
          <w:sz w:val="24"/>
          <w:szCs w:val="24"/>
          <w:u w:val="single"/>
        </w:rPr>
      </w:pPr>
      <w:r>
        <w:rPr>
          <w:rFonts w:hint="eastAsia" w:ascii="仿宋" w:hAnsi="仿宋" w:eastAsia="仿宋" w:cs="仿宋"/>
          <w:sz w:val="24"/>
          <w:szCs w:val="24"/>
        </w:rPr>
        <w:t>逾时，代理机构将拒绝接受提交的响应文件。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地点：南通市卫生健康委员会A215会议室（若有调整，招标代理机构将另行通知）。</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五、公告期限</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自本公告发布之日起</w:t>
      </w:r>
      <w:r>
        <w:rPr>
          <w:rFonts w:ascii="仿宋" w:hAnsi="仿宋" w:eastAsia="仿宋" w:cs="仿宋"/>
          <w:sz w:val="24"/>
          <w:szCs w:val="24"/>
        </w:rPr>
        <w:t>3</w:t>
      </w:r>
      <w:r>
        <w:rPr>
          <w:rFonts w:hint="eastAsia" w:ascii="仿宋" w:hAnsi="仿宋" w:eastAsia="仿宋" w:cs="仿宋"/>
          <w:sz w:val="24"/>
          <w:szCs w:val="24"/>
        </w:rPr>
        <w:t>个工作日。</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六、其他补充事宜</w:t>
      </w:r>
    </w:p>
    <w:p>
      <w:pPr>
        <w:widowControl/>
        <w:shd w:val="clear" w:color="auto" w:fill="FFFFFF"/>
        <w:tabs>
          <w:tab w:val="left" w:pos="3575"/>
        </w:tabs>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比选保证金：免收。</w:t>
      </w:r>
    </w:p>
    <w:p>
      <w:pPr>
        <w:widowControl/>
        <w:shd w:val="clear" w:color="auto" w:fill="FFFFFF"/>
        <w:tabs>
          <w:tab w:val="left" w:pos="3575"/>
        </w:tabs>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履约保证金：免收。</w:t>
      </w:r>
    </w:p>
    <w:p>
      <w:pPr>
        <w:widowControl/>
        <w:shd w:val="clear" w:color="auto" w:fill="FFFFFF"/>
        <w:tabs>
          <w:tab w:val="left" w:pos="3575"/>
        </w:tabs>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项目开标活动模式：现场提交响应文件。特殊情况下，采购人或招标代理机构可以采用不见面远程开标模式，具体方式另行通知。</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4.</w:t>
      </w:r>
      <w:r>
        <w:rPr>
          <w:rFonts w:hint="eastAsia" w:ascii="仿宋" w:hAnsi="仿宋" w:eastAsia="仿宋" w:cs="仿宋"/>
          <w:bCs/>
          <w:sz w:val="24"/>
          <w:szCs w:val="24"/>
        </w:rPr>
        <w:t>项目演示、样品、答辩等：无。</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5.</w:t>
      </w:r>
      <w:r>
        <w:rPr>
          <w:rFonts w:hint="eastAsia" w:ascii="仿宋" w:hAnsi="仿宋" w:eastAsia="仿宋" w:cs="仿宋"/>
          <w:bCs/>
          <w:sz w:val="24"/>
          <w:szCs w:val="24"/>
        </w:rPr>
        <w:t>对项目需求部分（项目需求）的询问、质疑请向采购人提出，由采购人负责答复；对项目比选文件其它部分的询问请向代理机构经办人提出。</w:t>
      </w:r>
    </w:p>
    <w:p>
      <w:pPr>
        <w:widowControl/>
        <w:shd w:val="clear" w:color="auto" w:fill="FFFFFF"/>
        <w:spacing w:line="360" w:lineRule="auto"/>
        <w:ind w:firstLine="480" w:firstLineChars="200"/>
        <w:jc w:val="left"/>
        <w:rPr>
          <w:rFonts w:hint="eastAsia" w:ascii="仿宋" w:hAnsi="仿宋" w:eastAsia="仿宋" w:cs="Times New Roman"/>
          <w:bCs/>
          <w:sz w:val="24"/>
          <w:szCs w:val="24"/>
        </w:rPr>
      </w:pPr>
      <w:r>
        <w:rPr>
          <w:rFonts w:ascii="仿宋" w:hAnsi="仿宋" w:eastAsia="仿宋" w:cs="仿宋"/>
          <w:bCs/>
          <w:sz w:val="24"/>
          <w:szCs w:val="24"/>
        </w:rPr>
        <w:t>6.</w:t>
      </w:r>
      <w:r>
        <w:rPr>
          <w:rFonts w:hint="eastAsia" w:ascii="仿宋" w:hAnsi="仿宋" w:eastAsia="仿宋" w:cs="仿宋"/>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七、对本次采购提出询问，请按以下方式联系。</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1.采购人信息</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名称：</w:t>
      </w:r>
      <w:r>
        <w:rPr>
          <w:rFonts w:hint="eastAsia" w:ascii="仿宋" w:hAnsi="仿宋" w:eastAsia="仿宋"/>
          <w:sz w:val="24"/>
          <w:szCs w:val="24"/>
        </w:rPr>
        <w:t>南通市卫生健康委员会</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地址：南通市崇川区崇文路1号</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联系方式：张先生（0513-59009052 ）</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2.采购代理机构信息</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名 称：江苏华凌科技咨询有限公司</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地址：南通市崇川路58号2幢503室</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联系方式：曹女士（</w:t>
      </w:r>
      <w:r>
        <w:rPr>
          <w:rFonts w:ascii="仿宋" w:hAnsi="仿宋" w:eastAsia="仿宋" w:cs="仿宋"/>
          <w:sz w:val="24"/>
          <w:szCs w:val="24"/>
        </w:rPr>
        <w:t>0513-89078482-8007/18862980992</w:t>
      </w:r>
      <w:r>
        <w:rPr>
          <w:rFonts w:hint="eastAsia" w:ascii="仿宋" w:hAnsi="仿宋" w:eastAsia="仿宋" w:cs="仿宋"/>
          <w:sz w:val="24"/>
          <w:szCs w:val="24"/>
        </w:rPr>
        <w:t>）</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3.项目联系方式</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项目联系人：袁女士</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联系电话：</w:t>
      </w:r>
      <w:r>
        <w:rPr>
          <w:rFonts w:ascii="仿宋" w:hAnsi="仿宋" w:eastAsia="仿宋" w:cs="仿宋"/>
          <w:sz w:val="24"/>
          <w:szCs w:val="24"/>
        </w:rPr>
        <w:t>0513-89078482-8004</w:t>
      </w:r>
      <w:r>
        <w:rPr>
          <w:rFonts w:hint="eastAsia" w:ascii="仿宋" w:hAnsi="仿宋" w:eastAsia="仿宋" w:cs="仿宋"/>
          <w:sz w:val="24"/>
          <w:szCs w:val="24"/>
        </w:rPr>
        <w:t>/</w:t>
      </w:r>
      <w:r>
        <w:rPr>
          <w:rFonts w:ascii="仿宋" w:hAnsi="仿宋" w:eastAsia="仿宋" w:cs="仿宋"/>
          <w:sz w:val="24"/>
          <w:szCs w:val="24"/>
        </w:rPr>
        <w:t>15370652631</w:t>
      </w:r>
    </w:p>
    <w:p>
      <w:pPr>
        <w:widowControl/>
        <w:shd w:val="clear" w:color="auto" w:fill="FFFFFF"/>
        <w:spacing w:line="360" w:lineRule="auto"/>
        <w:ind w:firstLine="482" w:firstLineChars="200"/>
        <w:jc w:val="right"/>
        <w:rPr>
          <w:rFonts w:hint="eastAsia" w:ascii="仿宋" w:hAnsi="仿宋" w:eastAsia="仿宋" w:cs="仿宋"/>
          <w:b/>
          <w:sz w:val="24"/>
          <w:szCs w:val="24"/>
        </w:rPr>
      </w:pPr>
    </w:p>
    <w:p>
      <w:pPr>
        <w:widowControl/>
        <w:shd w:val="clear" w:color="auto" w:fill="FFFFFF"/>
        <w:spacing w:line="360" w:lineRule="auto"/>
        <w:ind w:firstLine="482" w:firstLineChars="200"/>
        <w:jc w:val="right"/>
        <w:rPr>
          <w:rFonts w:hint="eastAsia" w:ascii="仿宋" w:hAnsi="仿宋" w:eastAsia="仿宋" w:cs="仿宋"/>
          <w:b/>
          <w:sz w:val="24"/>
          <w:szCs w:val="24"/>
        </w:rPr>
      </w:pPr>
      <w:r>
        <w:rPr>
          <w:rFonts w:hint="eastAsia" w:ascii="仿宋" w:hAnsi="仿宋" w:eastAsia="仿宋" w:cs="仿宋"/>
          <w:b/>
          <w:sz w:val="24"/>
          <w:szCs w:val="24"/>
        </w:rPr>
        <w:t>南通市卫生健康委员会</w:t>
      </w:r>
    </w:p>
    <w:p>
      <w:pPr>
        <w:widowControl/>
        <w:shd w:val="clear" w:color="auto" w:fill="FFFFFF"/>
        <w:spacing w:line="360" w:lineRule="auto"/>
        <w:ind w:firstLine="482" w:firstLineChars="200"/>
        <w:jc w:val="right"/>
        <w:rPr>
          <w:rFonts w:hint="eastAsia" w:ascii="仿宋" w:hAnsi="仿宋" w:eastAsia="仿宋" w:cs="仿宋"/>
          <w:b/>
          <w:sz w:val="24"/>
          <w:szCs w:val="24"/>
        </w:rPr>
      </w:pPr>
      <w:r>
        <w:rPr>
          <w:rFonts w:hint="eastAsia" w:ascii="仿宋" w:hAnsi="仿宋" w:eastAsia="仿宋" w:cs="仿宋"/>
          <w:b/>
          <w:sz w:val="24"/>
          <w:szCs w:val="24"/>
        </w:rPr>
        <w:t>江苏华凌科技咨询有限公司</w:t>
      </w:r>
    </w:p>
    <w:bookmarkEnd w:id="4"/>
    <w:bookmarkEnd w:id="5"/>
    <w:bookmarkEnd w:id="6"/>
    <w:p>
      <w:pPr>
        <w:widowControl/>
        <w:shd w:val="clear" w:color="auto" w:fill="FFFFFF"/>
        <w:spacing w:line="360" w:lineRule="auto"/>
        <w:ind w:firstLine="482" w:firstLineChars="200"/>
        <w:jc w:val="right"/>
        <w:rPr>
          <w:rFonts w:hint="eastAsia" w:ascii="仿宋" w:hAnsi="仿宋" w:eastAsia="仿宋" w:cs="仿宋"/>
          <w:b/>
          <w:sz w:val="24"/>
          <w:szCs w:val="24"/>
        </w:rPr>
      </w:pPr>
      <w:r>
        <w:rPr>
          <w:rFonts w:hint="eastAsia" w:ascii="仿宋" w:hAnsi="仿宋" w:eastAsia="仿宋" w:cs="仿宋"/>
          <w:b/>
          <w:sz w:val="24"/>
          <w:szCs w:val="24"/>
        </w:rPr>
        <w:t>202</w:t>
      </w:r>
      <w:r>
        <w:rPr>
          <w:rFonts w:ascii="仿宋" w:hAnsi="仿宋" w:eastAsia="仿宋" w:cs="仿宋"/>
          <w:b/>
          <w:sz w:val="24"/>
          <w:szCs w:val="24"/>
        </w:rPr>
        <w:t>4</w:t>
      </w:r>
      <w:r>
        <w:rPr>
          <w:rFonts w:hint="eastAsia" w:ascii="仿宋" w:hAnsi="仿宋" w:eastAsia="仿宋" w:cs="仿宋"/>
          <w:b/>
          <w:sz w:val="24"/>
          <w:szCs w:val="24"/>
        </w:rPr>
        <w:t>年11月</w:t>
      </w:r>
      <w:r>
        <w:rPr>
          <w:rFonts w:hint="eastAsia" w:ascii="仿宋" w:hAnsi="仿宋" w:eastAsia="仿宋" w:cs="仿宋"/>
          <w:b/>
          <w:sz w:val="24"/>
          <w:szCs w:val="24"/>
          <w:lang w:val="en-US" w:eastAsia="zh-CN"/>
        </w:rPr>
        <w:t>20</w:t>
      </w:r>
      <w:r>
        <w:rPr>
          <w:rFonts w:hint="eastAsia" w:ascii="仿宋" w:hAnsi="仿宋" w:eastAsia="仿宋" w:cs="仿宋"/>
          <w:b/>
          <w:sz w:val="24"/>
          <w:szCs w:val="24"/>
        </w:rPr>
        <w:t>日</w:t>
      </w:r>
    </w:p>
    <w:bookmarkEnd w:id="2"/>
    <w:bookmarkEnd w:id="7"/>
    <w:p>
      <w:pPr>
        <w:spacing w:line="360" w:lineRule="auto"/>
        <w:ind w:firstLine="480" w:firstLineChars="200"/>
        <w:rPr>
          <w:rFonts w:hint="eastAsia" w:ascii="仿宋" w:hAnsi="仿宋" w:eastAsia="仿宋"/>
          <w:sz w:val="24"/>
          <w:szCs w:val="24"/>
        </w:rPr>
      </w:pPr>
    </w:p>
    <w:p>
      <w:pPr>
        <w:widowControl/>
        <w:jc w:val="left"/>
        <w:rPr>
          <w:rFonts w:hint="eastAsia" w:ascii="仿宋" w:hAnsi="仿宋" w:eastAsia="仿宋"/>
          <w:sz w:val="28"/>
          <w:szCs w:val="28"/>
        </w:rPr>
      </w:pPr>
      <w:r>
        <w:rPr>
          <w:rFonts w:ascii="仿宋" w:hAnsi="仿宋" w:eastAsia="仿宋"/>
          <w:sz w:val="28"/>
          <w:szCs w:val="28"/>
        </w:rPr>
        <w:br w:type="page"/>
      </w:r>
    </w:p>
    <w:p>
      <w:pPr>
        <w:pStyle w:val="2"/>
        <w:spacing w:before="159" w:beforeLines="50" w:after="159" w:afterLines="50" w:line="360" w:lineRule="auto"/>
        <w:jc w:val="center"/>
        <w:rPr>
          <w:rFonts w:hint="eastAsia" w:ascii="仿宋" w:hAnsi="仿宋" w:eastAsia="仿宋"/>
          <w:sz w:val="32"/>
          <w:szCs w:val="32"/>
        </w:rPr>
      </w:pPr>
      <w:r>
        <w:rPr>
          <w:rFonts w:hint="eastAsia" w:ascii="仿宋" w:hAnsi="仿宋" w:eastAsia="仿宋"/>
          <w:sz w:val="32"/>
          <w:szCs w:val="32"/>
        </w:rPr>
        <w:t>第二部分 供应商须知</w:t>
      </w:r>
    </w:p>
    <w:p>
      <w:pPr>
        <w:pStyle w:val="3"/>
        <w:spacing w:before="0" w:after="0" w:line="360" w:lineRule="auto"/>
        <w:rPr>
          <w:rFonts w:hint="eastAsia" w:ascii="仿宋" w:hAnsi="仿宋" w:eastAsia="仿宋"/>
          <w:sz w:val="24"/>
          <w:szCs w:val="24"/>
        </w:rPr>
      </w:pPr>
      <w:bookmarkStart w:id="8" w:name="_Toc513029203"/>
      <w:bookmarkStart w:id="9" w:name="_Toc20823275"/>
      <w:bookmarkStart w:id="10" w:name="_Toc120614214"/>
      <w:bookmarkStart w:id="11" w:name="_Toc16938519"/>
      <w:r>
        <w:rPr>
          <w:rFonts w:ascii="仿宋" w:hAnsi="仿宋" w:eastAsia="仿宋"/>
          <w:sz w:val="24"/>
          <w:szCs w:val="24"/>
        </w:rPr>
        <w:t>（一）总则</w:t>
      </w:r>
      <w:bookmarkEnd w:id="8"/>
      <w:bookmarkEnd w:id="9"/>
      <w:bookmarkEnd w:id="10"/>
      <w:bookmarkEnd w:id="11"/>
    </w:p>
    <w:p>
      <w:pPr>
        <w:pStyle w:val="4"/>
        <w:spacing w:before="0" w:after="0" w:line="360" w:lineRule="auto"/>
        <w:rPr>
          <w:rFonts w:hint="eastAsia" w:ascii="仿宋" w:hAnsi="仿宋" w:eastAsia="仿宋"/>
          <w:sz w:val="24"/>
          <w:szCs w:val="24"/>
        </w:rPr>
      </w:pPr>
      <w:bookmarkStart w:id="12" w:name="_Hlt16619475"/>
      <w:bookmarkEnd w:id="12"/>
      <w:bookmarkStart w:id="13" w:name="_Toc458694821"/>
      <w:bookmarkStart w:id="14" w:name="_Toc20823276"/>
      <w:bookmarkStart w:id="15" w:name="_Toc16938520"/>
      <w:bookmarkStart w:id="16" w:name="_Toc513029204"/>
      <w:r>
        <w:rPr>
          <w:rFonts w:ascii="仿宋" w:hAnsi="仿宋" w:eastAsia="仿宋"/>
          <w:sz w:val="24"/>
          <w:szCs w:val="24"/>
        </w:rPr>
        <w:t>1</w:t>
      </w:r>
      <w:bookmarkEnd w:id="13"/>
      <w:r>
        <w:rPr>
          <w:rFonts w:ascii="仿宋" w:hAnsi="仿宋" w:eastAsia="仿宋"/>
          <w:sz w:val="24"/>
          <w:szCs w:val="24"/>
        </w:rPr>
        <w:t>.采购方式</w:t>
      </w:r>
      <w:bookmarkEnd w:id="14"/>
      <w:bookmarkEnd w:id="15"/>
      <w:bookmarkEnd w:id="16"/>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本次采取</w:t>
      </w:r>
      <w:r>
        <w:rPr>
          <w:rFonts w:hint="eastAsia" w:ascii="仿宋" w:hAnsi="仿宋" w:eastAsia="仿宋" w:cs="仿宋"/>
          <w:sz w:val="24"/>
          <w:szCs w:val="24"/>
        </w:rPr>
        <w:t>比选</w:t>
      </w:r>
      <w:r>
        <w:rPr>
          <w:rFonts w:ascii="仿宋" w:hAnsi="仿宋" w:eastAsia="仿宋" w:cs="仿宋"/>
          <w:sz w:val="24"/>
          <w:szCs w:val="24"/>
        </w:rPr>
        <w:t>方式，本比选文件仅适用于</w:t>
      </w:r>
      <w:r>
        <w:rPr>
          <w:rFonts w:hint="eastAsia" w:ascii="仿宋" w:hAnsi="仿宋" w:eastAsia="仿宋" w:cs="仿宋"/>
          <w:sz w:val="24"/>
          <w:szCs w:val="24"/>
        </w:rPr>
        <w:t>比选</w:t>
      </w:r>
      <w:r>
        <w:rPr>
          <w:rFonts w:ascii="仿宋" w:hAnsi="仿宋" w:eastAsia="仿宋" w:cs="仿宋"/>
          <w:sz w:val="24"/>
          <w:szCs w:val="24"/>
        </w:rPr>
        <w:t>公告中所述项目。</w:t>
      </w:r>
    </w:p>
    <w:p>
      <w:pPr>
        <w:pStyle w:val="4"/>
        <w:spacing w:before="0" w:after="0" w:line="360" w:lineRule="auto"/>
        <w:rPr>
          <w:rFonts w:hint="eastAsia" w:ascii="仿宋" w:hAnsi="仿宋" w:eastAsia="仿宋"/>
          <w:sz w:val="24"/>
          <w:szCs w:val="24"/>
        </w:rPr>
      </w:pPr>
      <w:bookmarkStart w:id="17" w:name="_Toc16938521"/>
      <w:bookmarkStart w:id="18" w:name="_Toc513029205"/>
      <w:bookmarkStart w:id="19" w:name="_Toc20823277"/>
      <w:r>
        <w:rPr>
          <w:rFonts w:ascii="仿宋" w:hAnsi="仿宋" w:eastAsia="仿宋"/>
          <w:sz w:val="24"/>
          <w:szCs w:val="24"/>
        </w:rPr>
        <w:t>2.合格的</w:t>
      </w:r>
      <w:bookmarkEnd w:id="17"/>
      <w:bookmarkEnd w:id="18"/>
      <w:bookmarkEnd w:id="19"/>
      <w:r>
        <w:rPr>
          <w:rFonts w:ascii="仿宋" w:hAnsi="仿宋" w:eastAsia="仿宋"/>
          <w:sz w:val="24"/>
          <w:szCs w:val="24"/>
        </w:rPr>
        <w:t>供应商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满足</w:t>
      </w:r>
      <w:r>
        <w:rPr>
          <w:rFonts w:hint="eastAsia" w:ascii="仿宋" w:hAnsi="仿宋" w:eastAsia="仿宋" w:cs="仿宋"/>
          <w:sz w:val="24"/>
          <w:szCs w:val="24"/>
        </w:rPr>
        <w:t>比选</w:t>
      </w:r>
      <w:r>
        <w:rPr>
          <w:rFonts w:ascii="仿宋" w:hAnsi="仿宋" w:eastAsia="仿宋" w:cs="仿宋"/>
          <w:sz w:val="24"/>
          <w:szCs w:val="24"/>
        </w:rPr>
        <w:t>公告中供应商的资格要求的规定。</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满足本文件实质性条款的规定。</w:t>
      </w:r>
    </w:p>
    <w:p>
      <w:pPr>
        <w:pStyle w:val="4"/>
        <w:spacing w:before="0" w:after="0" w:line="360" w:lineRule="auto"/>
        <w:rPr>
          <w:rFonts w:hint="eastAsia" w:ascii="仿宋" w:hAnsi="仿宋" w:eastAsia="仿宋"/>
          <w:sz w:val="24"/>
          <w:szCs w:val="24"/>
        </w:rPr>
      </w:pPr>
      <w:bookmarkStart w:id="20" w:name="_Toc16938522"/>
      <w:bookmarkStart w:id="21" w:name="_Toc513029206"/>
      <w:bookmarkStart w:id="22" w:name="_Toc20823278"/>
      <w:r>
        <w:rPr>
          <w:rFonts w:ascii="仿宋" w:hAnsi="仿宋" w:eastAsia="仿宋"/>
          <w:sz w:val="24"/>
          <w:szCs w:val="24"/>
        </w:rPr>
        <w:t>3.适用法律</w:t>
      </w:r>
      <w:bookmarkEnd w:id="20"/>
      <w:bookmarkEnd w:id="21"/>
      <w:bookmarkEnd w:id="22"/>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本次采购及由此产生的合同受中华人民共和国有关的法律法规制约和保护。</w:t>
      </w:r>
    </w:p>
    <w:p>
      <w:pPr>
        <w:pStyle w:val="4"/>
        <w:spacing w:before="0" w:after="0" w:line="360" w:lineRule="auto"/>
        <w:rPr>
          <w:rFonts w:hint="eastAsia" w:ascii="仿宋" w:hAnsi="仿宋" w:eastAsia="仿宋"/>
          <w:sz w:val="24"/>
          <w:szCs w:val="24"/>
        </w:rPr>
      </w:pPr>
      <w:bookmarkStart w:id="23" w:name="_Toc16938523"/>
      <w:bookmarkStart w:id="24" w:name="_Toc513029207"/>
      <w:bookmarkStart w:id="25" w:name="_Toc462564067"/>
      <w:bookmarkStart w:id="26" w:name="_Toc20823279"/>
      <w:r>
        <w:rPr>
          <w:rFonts w:ascii="仿宋" w:hAnsi="仿宋" w:eastAsia="仿宋"/>
          <w:sz w:val="24"/>
          <w:szCs w:val="24"/>
        </w:rPr>
        <w:t>4.</w:t>
      </w:r>
      <w:r>
        <w:rPr>
          <w:rFonts w:hint="eastAsia" w:ascii="仿宋" w:hAnsi="仿宋" w:eastAsia="仿宋" w:cs="仿宋"/>
          <w:sz w:val="24"/>
          <w:szCs w:val="24"/>
        </w:rPr>
        <w:t>比选</w:t>
      </w:r>
      <w:r>
        <w:rPr>
          <w:rFonts w:ascii="仿宋" w:hAnsi="仿宋" w:eastAsia="仿宋"/>
          <w:sz w:val="24"/>
          <w:szCs w:val="24"/>
        </w:rPr>
        <w:t>费用</w:t>
      </w:r>
      <w:bookmarkEnd w:id="23"/>
      <w:bookmarkEnd w:id="24"/>
      <w:bookmarkEnd w:id="25"/>
      <w:bookmarkEnd w:id="26"/>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 供应商应自行承担所有与参加</w:t>
      </w:r>
      <w:r>
        <w:rPr>
          <w:rFonts w:hint="eastAsia" w:ascii="仿宋" w:hAnsi="仿宋" w:eastAsia="仿宋" w:cs="仿宋"/>
          <w:sz w:val="24"/>
          <w:szCs w:val="24"/>
        </w:rPr>
        <w:t>比选</w:t>
      </w:r>
      <w:r>
        <w:rPr>
          <w:rFonts w:ascii="仿宋" w:hAnsi="仿宋" w:eastAsia="仿宋" w:cs="仿宋"/>
          <w:sz w:val="24"/>
          <w:szCs w:val="24"/>
        </w:rPr>
        <w:t>有关的费用，无论</w:t>
      </w:r>
      <w:r>
        <w:rPr>
          <w:rFonts w:hint="eastAsia" w:ascii="仿宋" w:hAnsi="仿宋" w:eastAsia="仿宋" w:cs="仿宋"/>
          <w:sz w:val="24"/>
          <w:szCs w:val="24"/>
        </w:rPr>
        <w:t>比选</w:t>
      </w:r>
      <w:r>
        <w:rPr>
          <w:rFonts w:ascii="仿宋" w:hAnsi="仿宋" w:eastAsia="仿宋" w:cs="仿宋"/>
          <w:sz w:val="24"/>
          <w:szCs w:val="24"/>
        </w:rPr>
        <w:t>过程中的做法和结果如何，</w:t>
      </w:r>
      <w:r>
        <w:rPr>
          <w:rFonts w:hint="eastAsia" w:ascii="仿宋" w:hAnsi="仿宋" w:eastAsia="仿宋" w:cs="仿宋"/>
          <w:sz w:val="24"/>
          <w:szCs w:val="24"/>
        </w:rPr>
        <w:t>采购人和招标代理机构</w:t>
      </w:r>
      <w:r>
        <w:rPr>
          <w:rFonts w:ascii="仿宋" w:hAnsi="仿宋" w:eastAsia="仿宋" w:cs="仿宋"/>
          <w:sz w:val="24"/>
          <w:szCs w:val="24"/>
        </w:rPr>
        <w:t>在任何情况下均无义务和责任承担这些费用。</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4.2 </w:t>
      </w:r>
      <w:r>
        <w:rPr>
          <w:rFonts w:hint="eastAsia" w:ascii="仿宋" w:hAnsi="仿宋" w:eastAsia="仿宋" w:cs="仿宋"/>
          <w:sz w:val="24"/>
          <w:szCs w:val="24"/>
        </w:rPr>
        <w:t>采购人不收取任何费用。本项目代理服务费计取金额按照3</w:t>
      </w:r>
      <w:r>
        <w:rPr>
          <w:rFonts w:ascii="仿宋" w:hAnsi="仿宋" w:eastAsia="仿宋" w:cs="仿宋"/>
          <w:sz w:val="24"/>
          <w:szCs w:val="24"/>
        </w:rPr>
        <w:t>180</w:t>
      </w:r>
      <w:r>
        <w:rPr>
          <w:rFonts w:hint="eastAsia" w:ascii="仿宋" w:hAnsi="仿宋" w:eastAsia="仿宋" w:cs="仿宋"/>
          <w:sz w:val="24"/>
          <w:szCs w:val="24"/>
        </w:rPr>
        <w:t>元计算，此项费用含在投标报价中，并不单独立项，由成交供应商在取得成交通知书前，向招标代理机构一次付清。</w:t>
      </w:r>
    </w:p>
    <w:p>
      <w:pPr>
        <w:pStyle w:val="4"/>
        <w:spacing w:before="0" w:after="0" w:line="360" w:lineRule="auto"/>
        <w:rPr>
          <w:rFonts w:hint="eastAsia" w:ascii="仿宋" w:hAnsi="仿宋" w:eastAsia="仿宋"/>
          <w:sz w:val="24"/>
          <w:szCs w:val="24"/>
        </w:rPr>
      </w:pPr>
      <w:r>
        <w:rPr>
          <w:rFonts w:ascii="仿宋" w:hAnsi="仿宋" w:eastAsia="仿宋"/>
          <w:sz w:val="24"/>
          <w:szCs w:val="24"/>
        </w:rPr>
        <w:t>5.比选文件的约束力</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供应商一旦参加本项目采购活动，即被认为接受了本比选文件的规定和约束。</w:t>
      </w:r>
    </w:p>
    <w:p>
      <w:pPr>
        <w:pStyle w:val="4"/>
        <w:spacing w:before="0" w:after="0" w:line="360" w:lineRule="auto"/>
        <w:rPr>
          <w:rFonts w:hint="eastAsia" w:ascii="仿宋" w:hAnsi="仿宋" w:eastAsia="仿宋"/>
          <w:sz w:val="24"/>
          <w:szCs w:val="24"/>
        </w:rPr>
      </w:pPr>
      <w:r>
        <w:rPr>
          <w:rFonts w:ascii="仿宋" w:hAnsi="仿宋" w:eastAsia="仿宋"/>
          <w:sz w:val="24"/>
          <w:szCs w:val="24"/>
        </w:rPr>
        <w:t>6.比选文件的解释</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比选文件需求部分（项目需求）由采购人解释，其它部分由采购</w:t>
      </w:r>
      <w:r>
        <w:rPr>
          <w:rFonts w:hint="eastAsia" w:ascii="仿宋" w:hAnsi="仿宋" w:eastAsia="仿宋" w:cs="仿宋"/>
          <w:sz w:val="24"/>
          <w:szCs w:val="24"/>
        </w:rPr>
        <w:t>代理机构</w:t>
      </w:r>
      <w:r>
        <w:rPr>
          <w:rFonts w:ascii="仿宋" w:hAnsi="仿宋" w:eastAsia="仿宋" w:cs="仿宋"/>
          <w:sz w:val="24"/>
          <w:szCs w:val="24"/>
        </w:rPr>
        <w:t>解释。</w:t>
      </w:r>
    </w:p>
    <w:p>
      <w:pPr>
        <w:pStyle w:val="3"/>
        <w:spacing w:before="0" w:after="0" w:line="360" w:lineRule="auto"/>
        <w:rPr>
          <w:rFonts w:hint="eastAsia" w:ascii="仿宋" w:hAnsi="仿宋" w:eastAsia="仿宋"/>
          <w:sz w:val="24"/>
          <w:szCs w:val="24"/>
        </w:rPr>
      </w:pPr>
      <w:bookmarkStart w:id="27" w:name="_Toc16938525"/>
      <w:bookmarkStart w:id="28" w:name="_Toc120614215"/>
      <w:bookmarkStart w:id="29" w:name="_Toc513029209"/>
      <w:bookmarkStart w:id="30" w:name="_Toc20823281"/>
      <w:r>
        <w:rPr>
          <w:rFonts w:ascii="仿宋" w:hAnsi="仿宋" w:eastAsia="仿宋"/>
          <w:sz w:val="24"/>
          <w:szCs w:val="24"/>
        </w:rPr>
        <w:t>（二）比选文件</w:t>
      </w:r>
      <w:bookmarkEnd w:id="27"/>
      <w:bookmarkEnd w:id="28"/>
      <w:bookmarkEnd w:id="29"/>
      <w:bookmarkEnd w:id="30"/>
    </w:p>
    <w:p>
      <w:pPr>
        <w:pStyle w:val="4"/>
        <w:spacing w:before="0" w:after="0" w:line="360" w:lineRule="auto"/>
        <w:rPr>
          <w:rFonts w:hint="eastAsia" w:ascii="仿宋" w:hAnsi="仿宋" w:eastAsia="仿宋"/>
          <w:sz w:val="24"/>
          <w:szCs w:val="24"/>
        </w:rPr>
      </w:pPr>
      <w:bookmarkStart w:id="31" w:name="_Toc20823282"/>
      <w:bookmarkStart w:id="32" w:name="_Toc16938526"/>
      <w:bookmarkStart w:id="33" w:name="_Toc513029210"/>
      <w:r>
        <w:rPr>
          <w:rFonts w:ascii="仿宋" w:hAnsi="仿宋" w:eastAsia="仿宋"/>
          <w:sz w:val="24"/>
          <w:szCs w:val="24"/>
        </w:rPr>
        <w:t>1.比选文件构成</w:t>
      </w:r>
      <w:bookmarkEnd w:id="31"/>
      <w:bookmarkEnd w:id="32"/>
      <w:bookmarkEnd w:id="33"/>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1.1 比选文件由以下部分组成：</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比选公告</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供应商须知</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（3）项目需求</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（4）评审方法和评审标准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（5）响应文件组成</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（6）附件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请仔细检查比选文件是否齐全，如有缺漏请立即与采购</w:t>
      </w:r>
      <w:r>
        <w:rPr>
          <w:rFonts w:hint="eastAsia" w:ascii="仿宋" w:hAnsi="仿宋" w:eastAsia="仿宋" w:cs="仿宋"/>
          <w:sz w:val="24"/>
          <w:szCs w:val="24"/>
        </w:rPr>
        <w:t>代理机构</w:t>
      </w:r>
      <w:r>
        <w:rPr>
          <w:rFonts w:ascii="仿宋" w:hAnsi="仿宋" w:eastAsia="仿宋" w:cs="仿宋"/>
          <w:sz w:val="24"/>
          <w:szCs w:val="24"/>
        </w:rPr>
        <w:t>联系解决。</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1.2 供应商应认真阅读比选文件中所有的事项、格式、条款和规范等要求。按比选文件要求和规定编制响应文件，并保证所提供的全部资料的真实性，以使其响应文件对比选文件作出实质性响应，否则其风险由供应商自行承担。</w:t>
      </w:r>
    </w:p>
    <w:p>
      <w:pPr>
        <w:pStyle w:val="4"/>
        <w:spacing w:before="0" w:after="0" w:line="360" w:lineRule="auto"/>
        <w:rPr>
          <w:rFonts w:hint="eastAsia" w:ascii="仿宋" w:hAnsi="仿宋" w:eastAsia="仿宋"/>
          <w:sz w:val="24"/>
          <w:szCs w:val="24"/>
        </w:rPr>
      </w:pPr>
      <w:bookmarkStart w:id="34" w:name="_Toc16938527"/>
      <w:bookmarkStart w:id="35" w:name="_Toc20823283"/>
      <w:bookmarkStart w:id="36" w:name="_Toc513029211"/>
      <w:bookmarkStart w:id="37" w:name="_Toc462564070"/>
      <w:r>
        <w:rPr>
          <w:rFonts w:ascii="仿宋" w:hAnsi="仿宋" w:eastAsia="仿宋"/>
          <w:sz w:val="24"/>
          <w:szCs w:val="24"/>
        </w:rPr>
        <w:t>2.比选文件的澄清</w:t>
      </w:r>
      <w:bookmarkEnd w:id="34"/>
      <w:bookmarkEnd w:id="35"/>
      <w:bookmarkEnd w:id="36"/>
      <w:bookmarkEnd w:id="37"/>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任何要求对比选文件进行澄清的供应商，应在提交首次响应文件截止时间五日前按</w:t>
      </w:r>
      <w:r>
        <w:rPr>
          <w:rFonts w:hint="eastAsia" w:ascii="仿宋" w:hAnsi="仿宋" w:eastAsia="仿宋" w:cs="仿宋"/>
          <w:sz w:val="24"/>
          <w:szCs w:val="24"/>
        </w:rPr>
        <w:t>比选</w:t>
      </w:r>
      <w:r>
        <w:rPr>
          <w:rFonts w:ascii="仿宋" w:hAnsi="仿宋" w:eastAsia="仿宋" w:cs="仿宋"/>
          <w:sz w:val="24"/>
          <w:szCs w:val="24"/>
        </w:rPr>
        <w:t>公告中的通讯地址，以书面形式通知采购人。采购人有权对发出的比选文件进行必要的澄清或修改。</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采购人视情组织答疑会</w:t>
      </w:r>
      <w:r>
        <w:rPr>
          <w:rFonts w:hint="eastAsia" w:ascii="仿宋" w:hAnsi="仿宋" w:eastAsia="仿宋" w:cs="仿宋"/>
          <w:sz w:val="24"/>
          <w:szCs w:val="24"/>
        </w:rPr>
        <w:t>。</w:t>
      </w:r>
    </w:p>
    <w:p>
      <w:pPr>
        <w:pStyle w:val="4"/>
        <w:spacing w:before="0" w:after="0" w:line="360" w:lineRule="auto"/>
        <w:rPr>
          <w:rFonts w:hint="eastAsia" w:ascii="仿宋" w:hAnsi="仿宋" w:eastAsia="仿宋"/>
          <w:sz w:val="24"/>
          <w:szCs w:val="24"/>
        </w:rPr>
      </w:pPr>
      <w:bookmarkStart w:id="38" w:name="_Toc513029212"/>
      <w:bookmarkStart w:id="39" w:name="_Toc16938528"/>
      <w:bookmarkStart w:id="40" w:name="_Toc462564071"/>
      <w:bookmarkStart w:id="41" w:name="_Toc20823284"/>
      <w:r>
        <w:rPr>
          <w:rFonts w:ascii="仿宋" w:hAnsi="仿宋" w:eastAsia="仿宋"/>
          <w:sz w:val="24"/>
          <w:szCs w:val="24"/>
        </w:rPr>
        <w:t>3.比选文件的修改</w:t>
      </w:r>
      <w:bookmarkEnd w:id="38"/>
      <w:bookmarkEnd w:id="39"/>
      <w:bookmarkEnd w:id="40"/>
      <w:bookmarkEnd w:id="41"/>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3.1 在响应文件提交截止时间前，采购</w:t>
      </w:r>
      <w:r>
        <w:rPr>
          <w:rFonts w:hint="eastAsia" w:ascii="仿宋" w:hAnsi="仿宋" w:eastAsia="仿宋" w:cs="仿宋"/>
          <w:sz w:val="24"/>
          <w:szCs w:val="24"/>
        </w:rPr>
        <w:t>代理机构</w:t>
      </w:r>
      <w:r>
        <w:rPr>
          <w:rFonts w:ascii="仿宋" w:hAnsi="仿宋" w:eastAsia="仿宋" w:cs="仿宋"/>
          <w:sz w:val="24"/>
          <w:szCs w:val="24"/>
        </w:rPr>
        <w:t>可以对比选文件进行修改。</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3.2 采购</w:t>
      </w:r>
      <w:r>
        <w:rPr>
          <w:rFonts w:hint="eastAsia" w:ascii="仿宋" w:hAnsi="仿宋" w:eastAsia="仿宋" w:cs="仿宋"/>
          <w:sz w:val="24"/>
          <w:szCs w:val="24"/>
        </w:rPr>
        <w:t>代理机构</w:t>
      </w:r>
      <w:r>
        <w:rPr>
          <w:rFonts w:ascii="仿宋" w:hAnsi="仿宋" w:eastAsia="仿宋" w:cs="仿宋"/>
          <w:sz w:val="24"/>
          <w:szCs w:val="24"/>
        </w:rPr>
        <w:t>有权按照法定的要求推迟响应文件提交截止日期和</w:t>
      </w:r>
      <w:r>
        <w:rPr>
          <w:rFonts w:hint="eastAsia" w:ascii="仿宋" w:hAnsi="仿宋" w:eastAsia="仿宋" w:cs="仿宋"/>
          <w:sz w:val="24"/>
          <w:szCs w:val="24"/>
        </w:rPr>
        <w:t>比选</w:t>
      </w:r>
      <w:r>
        <w:rPr>
          <w:rFonts w:ascii="仿宋" w:hAnsi="仿宋" w:eastAsia="仿宋" w:cs="仿宋"/>
          <w:sz w:val="24"/>
          <w:szCs w:val="24"/>
        </w:rPr>
        <w:t>日期。</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3.3 比选文件的修改将在</w:t>
      </w:r>
      <w:r>
        <w:rPr>
          <w:rFonts w:hint="eastAsia" w:ascii="仿宋" w:hAnsi="仿宋" w:eastAsia="仿宋" w:cs="仿宋"/>
          <w:sz w:val="24"/>
          <w:szCs w:val="24"/>
        </w:rPr>
        <w:t>指定媒体上</w:t>
      </w:r>
      <w:r>
        <w:rPr>
          <w:rFonts w:ascii="仿宋" w:hAnsi="仿宋" w:eastAsia="仿宋" w:cs="仿宋"/>
          <w:sz w:val="24"/>
          <w:szCs w:val="24"/>
        </w:rPr>
        <w:t>公布，补充文件将作为比选文件的组成部分，并对供应商具有约束力。</w:t>
      </w:r>
    </w:p>
    <w:p>
      <w:pPr>
        <w:pStyle w:val="3"/>
        <w:spacing w:before="0" w:after="0" w:line="360" w:lineRule="auto"/>
        <w:rPr>
          <w:rFonts w:hint="eastAsia" w:ascii="仿宋" w:hAnsi="仿宋" w:eastAsia="仿宋"/>
          <w:sz w:val="24"/>
          <w:szCs w:val="24"/>
        </w:rPr>
      </w:pPr>
      <w:bookmarkStart w:id="42" w:name="_Toc120614216"/>
      <w:bookmarkStart w:id="43" w:name="_Toc20823285"/>
      <w:bookmarkStart w:id="44" w:name="_Toc16938529"/>
      <w:bookmarkStart w:id="45" w:name="_Toc513029213"/>
      <w:bookmarkStart w:id="46" w:name="_Toc462564072"/>
      <w:r>
        <w:rPr>
          <w:rFonts w:ascii="仿宋" w:hAnsi="仿宋" w:eastAsia="仿宋"/>
          <w:sz w:val="24"/>
          <w:szCs w:val="24"/>
        </w:rPr>
        <w:t>（三）响应文件的编制</w:t>
      </w:r>
      <w:bookmarkEnd w:id="42"/>
      <w:bookmarkEnd w:id="43"/>
      <w:bookmarkEnd w:id="44"/>
      <w:bookmarkEnd w:id="45"/>
      <w:bookmarkEnd w:id="46"/>
    </w:p>
    <w:p>
      <w:pPr>
        <w:pStyle w:val="4"/>
        <w:spacing w:before="0" w:after="0" w:line="360" w:lineRule="auto"/>
        <w:rPr>
          <w:rFonts w:hint="eastAsia" w:ascii="仿宋" w:hAnsi="仿宋" w:eastAsia="仿宋"/>
          <w:sz w:val="24"/>
          <w:szCs w:val="24"/>
        </w:rPr>
      </w:pPr>
      <w:bookmarkStart w:id="47" w:name="_Toc513029214"/>
      <w:bookmarkStart w:id="48" w:name="_Toc462564073"/>
      <w:bookmarkStart w:id="49" w:name="_Toc16938530"/>
      <w:bookmarkStart w:id="50" w:name="_Toc20823286"/>
      <w:r>
        <w:rPr>
          <w:rFonts w:ascii="仿宋" w:hAnsi="仿宋" w:eastAsia="仿宋"/>
          <w:sz w:val="24"/>
          <w:szCs w:val="24"/>
        </w:rPr>
        <w:t>1.响应文件的语言及度量衡单位</w:t>
      </w:r>
      <w:bookmarkEnd w:id="47"/>
      <w:bookmarkEnd w:id="48"/>
      <w:bookmarkEnd w:id="49"/>
      <w:bookmarkEnd w:id="50"/>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1.1 供应商提交的响应文件以及供应商与采购</w:t>
      </w:r>
      <w:r>
        <w:rPr>
          <w:rFonts w:hint="eastAsia" w:ascii="仿宋" w:hAnsi="仿宋" w:eastAsia="仿宋" w:cs="仿宋"/>
          <w:sz w:val="24"/>
          <w:szCs w:val="24"/>
        </w:rPr>
        <w:t>代理机构</w:t>
      </w:r>
      <w:r>
        <w:rPr>
          <w:rFonts w:ascii="仿宋" w:hAnsi="仿宋" w:eastAsia="仿宋" w:cs="仿宋"/>
          <w:sz w:val="24"/>
          <w:szCs w:val="24"/>
        </w:rPr>
        <w:t>及采购人就有关</w:t>
      </w:r>
      <w:r>
        <w:rPr>
          <w:rFonts w:hint="eastAsia" w:ascii="仿宋" w:hAnsi="仿宋" w:eastAsia="仿宋" w:cs="仿宋"/>
          <w:sz w:val="24"/>
          <w:szCs w:val="24"/>
        </w:rPr>
        <w:t>比选</w:t>
      </w:r>
      <w:r>
        <w:rPr>
          <w:rFonts w:ascii="仿宋" w:hAnsi="仿宋" w:eastAsia="仿宋" w:cs="仿宋"/>
          <w:sz w:val="24"/>
          <w:szCs w:val="24"/>
        </w:rPr>
        <w:t>的所有来往通知、函件和文件均应使用简体中文。</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1.2 除技术性能另有规定外，响应文件所使用的度量衡单位，均须采用国家法定计量单位。</w:t>
      </w:r>
    </w:p>
    <w:p>
      <w:pPr>
        <w:pStyle w:val="4"/>
        <w:spacing w:before="0" w:after="0" w:line="360" w:lineRule="auto"/>
        <w:rPr>
          <w:rFonts w:hint="eastAsia" w:ascii="仿宋" w:hAnsi="仿宋" w:eastAsia="仿宋"/>
          <w:sz w:val="24"/>
          <w:szCs w:val="24"/>
        </w:rPr>
      </w:pPr>
      <w:bookmarkStart w:id="51" w:name="_Toc20823287"/>
      <w:bookmarkStart w:id="52" w:name="_Toc462564074"/>
      <w:bookmarkStart w:id="53" w:name="_Toc513029215"/>
      <w:bookmarkStart w:id="54" w:name="_Toc16938531"/>
      <w:r>
        <w:rPr>
          <w:rFonts w:ascii="仿宋" w:hAnsi="仿宋" w:eastAsia="仿宋"/>
          <w:sz w:val="24"/>
          <w:szCs w:val="24"/>
        </w:rPr>
        <w:t>2.响应文件构成</w:t>
      </w:r>
      <w:bookmarkEnd w:id="51"/>
      <w:bookmarkEnd w:id="52"/>
      <w:bookmarkEnd w:id="53"/>
      <w:bookmarkEnd w:id="54"/>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供应商编写的响应文件应包括资格审查证明材料文件、商务技术标文件、价格标文件。供应商按“第</w:t>
      </w:r>
      <w:r>
        <w:rPr>
          <w:rFonts w:hint="eastAsia" w:ascii="仿宋" w:hAnsi="仿宋" w:eastAsia="仿宋" w:cs="仿宋"/>
          <w:sz w:val="24"/>
          <w:szCs w:val="24"/>
        </w:rPr>
        <w:t>五</w:t>
      </w:r>
      <w:r>
        <w:rPr>
          <w:rFonts w:ascii="仿宋" w:hAnsi="仿宋" w:eastAsia="仿宋" w:cs="仿宋"/>
          <w:sz w:val="24"/>
          <w:szCs w:val="24"/>
        </w:rPr>
        <w:t>部分 响应文件组成”要求编写响应文件。</w:t>
      </w:r>
    </w:p>
    <w:p>
      <w:pPr>
        <w:pStyle w:val="4"/>
        <w:spacing w:before="0" w:after="0" w:line="360" w:lineRule="auto"/>
        <w:rPr>
          <w:rFonts w:hint="eastAsia" w:ascii="仿宋" w:hAnsi="仿宋" w:eastAsia="仿宋"/>
          <w:sz w:val="24"/>
          <w:szCs w:val="24"/>
        </w:rPr>
      </w:pPr>
      <w:bookmarkStart w:id="55" w:name="_Hlt26670360"/>
      <w:bookmarkEnd w:id="55"/>
      <w:bookmarkStart w:id="56" w:name="_Hlt26954838"/>
      <w:bookmarkEnd w:id="56"/>
      <w:bookmarkStart w:id="57" w:name="_Hlt26668975"/>
      <w:bookmarkEnd w:id="57"/>
      <w:bookmarkStart w:id="58" w:name="_Toc49090511"/>
      <w:bookmarkStart w:id="59" w:name="_Toc14577360"/>
      <w:r>
        <w:rPr>
          <w:rFonts w:ascii="仿宋" w:hAnsi="仿宋" w:eastAsia="仿宋"/>
          <w:sz w:val="24"/>
          <w:szCs w:val="24"/>
        </w:rPr>
        <w:t>3.</w:t>
      </w:r>
      <w:bookmarkEnd w:id="58"/>
      <w:bookmarkEnd w:id="59"/>
      <w:r>
        <w:rPr>
          <w:rFonts w:hint="eastAsia" w:ascii="仿宋" w:hAnsi="仿宋" w:eastAsia="仿宋"/>
          <w:sz w:val="24"/>
          <w:szCs w:val="24"/>
        </w:rPr>
        <w:t>比选</w:t>
      </w:r>
      <w:r>
        <w:rPr>
          <w:rFonts w:ascii="仿宋" w:hAnsi="仿宋" w:eastAsia="仿宋"/>
          <w:sz w:val="24"/>
          <w:szCs w:val="24"/>
        </w:rPr>
        <w:t>响应有效期</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比选</w:t>
      </w:r>
      <w:r>
        <w:rPr>
          <w:rFonts w:ascii="仿宋" w:hAnsi="仿宋" w:eastAsia="仿宋" w:cs="仿宋"/>
          <w:sz w:val="24"/>
          <w:szCs w:val="24"/>
        </w:rPr>
        <w:t>响应有效期为采购</w:t>
      </w:r>
      <w:r>
        <w:rPr>
          <w:rFonts w:hint="eastAsia" w:ascii="仿宋" w:hAnsi="仿宋" w:eastAsia="仿宋" w:cs="仿宋"/>
          <w:sz w:val="24"/>
          <w:szCs w:val="24"/>
        </w:rPr>
        <w:t>代理机构</w:t>
      </w:r>
      <w:r>
        <w:rPr>
          <w:rFonts w:ascii="仿宋" w:hAnsi="仿宋" w:eastAsia="仿宋" w:cs="仿宋"/>
          <w:sz w:val="24"/>
          <w:szCs w:val="24"/>
        </w:rPr>
        <w:t>规定的响应文件提交截止时间后六十（60）天。</w:t>
      </w:r>
      <w:r>
        <w:rPr>
          <w:rFonts w:hint="eastAsia" w:ascii="仿宋" w:hAnsi="仿宋" w:eastAsia="仿宋" w:cs="仿宋"/>
          <w:sz w:val="24"/>
          <w:szCs w:val="24"/>
        </w:rPr>
        <w:t>比选</w:t>
      </w:r>
      <w:r>
        <w:rPr>
          <w:rFonts w:ascii="仿宋" w:hAnsi="仿宋" w:eastAsia="仿宋" w:cs="仿宋"/>
          <w:sz w:val="24"/>
          <w:szCs w:val="24"/>
        </w:rPr>
        <w:t>响应有效期比规定短的将被视为非实质性响应而予以拒绝。</w:t>
      </w:r>
    </w:p>
    <w:p>
      <w:pPr>
        <w:pStyle w:val="4"/>
        <w:spacing w:before="0" w:after="0" w:line="360" w:lineRule="auto"/>
        <w:rPr>
          <w:rFonts w:hint="eastAsia" w:ascii="仿宋" w:hAnsi="仿宋" w:eastAsia="仿宋"/>
          <w:sz w:val="24"/>
          <w:szCs w:val="24"/>
        </w:rPr>
      </w:pPr>
      <w:r>
        <w:rPr>
          <w:rFonts w:ascii="仿宋" w:hAnsi="仿宋" w:eastAsia="仿宋"/>
          <w:sz w:val="24"/>
          <w:szCs w:val="24"/>
        </w:rPr>
        <w:t>4.</w:t>
      </w:r>
      <w:r>
        <w:rPr>
          <w:rFonts w:hint="eastAsia" w:ascii="仿宋" w:hAnsi="仿宋" w:eastAsia="仿宋"/>
          <w:sz w:val="24"/>
          <w:szCs w:val="24"/>
        </w:rPr>
        <w:t>比选</w:t>
      </w:r>
      <w:r>
        <w:rPr>
          <w:rFonts w:ascii="仿宋" w:hAnsi="仿宋" w:eastAsia="仿宋"/>
          <w:sz w:val="24"/>
          <w:szCs w:val="24"/>
        </w:rPr>
        <w:t>响应有效期的延长</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在特殊情况下，采购</w:t>
      </w:r>
      <w:r>
        <w:rPr>
          <w:rFonts w:hint="eastAsia" w:ascii="仿宋" w:hAnsi="仿宋" w:eastAsia="仿宋" w:cs="仿宋"/>
          <w:sz w:val="24"/>
          <w:szCs w:val="24"/>
        </w:rPr>
        <w:t>代理机构</w:t>
      </w:r>
      <w:r>
        <w:rPr>
          <w:rFonts w:ascii="仿宋" w:hAnsi="仿宋" w:eastAsia="仿宋" w:cs="仿宋"/>
          <w:sz w:val="24"/>
          <w:szCs w:val="24"/>
        </w:rPr>
        <w:t>于原</w:t>
      </w:r>
      <w:r>
        <w:rPr>
          <w:rFonts w:hint="eastAsia" w:ascii="仿宋" w:hAnsi="仿宋" w:eastAsia="仿宋" w:cs="仿宋"/>
          <w:sz w:val="24"/>
          <w:szCs w:val="24"/>
        </w:rPr>
        <w:t>比选</w:t>
      </w:r>
      <w:r>
        <w:rPr>
          <w:rFonts w:ascii="仿宋" w:hAnsi="仿宋" w:eastAsia="仿宋" w:cs="仿宋"/>
          <w:sz w:val="24"/>
          <w:szCs w:val="24"/>
        </w:rPr>
        <w:t>响应有效期满之前，可向</w:t>
      </w:r>
      <w:r>
        <w:rPr>
          <w:rFonts w:hint="eastAsia" w:ascii="仿宋" w:hAnsi="仿宋" w:eastAsia="仿宋" w:cs="仿宋"/>
          <w:sz w:val="24"/>
          <w:szCs w:val="24"/>
        </w:rPr>
        <w:t>比选</w:t>
      </w:r>
      <w:r>
        <w:rPr>
          <w:rFonts w:ascii="仿宋" w:hAnsi="仿宋" w:eastAsia="仿宋" w:cs="仿宋"/>
          <w:sz w:val="24"/>
          <w:szCs w:val="24"/>
        </w:rPr>
        <w:t>供应商提出延长</w:t>
      </w:r>
      <w:r>
        <w:rPr>
          <w:rFonts w:hint="eastAsia" w:ascii="仿宋" w:hAnsi="仿宋" w:eastAsia="仿宋" w:cs="仿宋"/>
          <w:sz w:val="24"/>
          <w:szCs w:val="24"/>
        </w:rPr>
        <w:t>比选</w:t>
      </w:r>
      <w:r>
        <w:rPr>
          <w:rFonts w:ascii="仿宋" w:hAnsi="仿宋" w:eastAsia="仿宋" w:cs="仿宋"/>
          <w:sz w:val="24"/>
          <w:szCs w:val="24"/>
        </w:rPr>
        <w:t>响应有效期的要求。这种要求与答复均应采用书面形式。供应商可以拒绝采购</w:t>
      </w:r>
      <w:r>
        <w:rPr>
          <w:rFonts w:hint="eastAsia" w:ascii="仿宋" w:hAnsi="仿宋" w:eastAsia="仿宋" w:cs="仿宋"/>
          <w:sz w:val="24"/>
          <w:szCs w:val="24"/>
        </w:rPr>
        <w:t>代理机构</w:t>
      </w:r>
      <w:r>
        <w:rPr>
          <w:rFonts w:ascii="仿宋" w:hAnsi="仿宋" w:eastAsia="仿宋" w:cs="仿宋"/>
          <w:sz w:val="24"/>
          <w:szCs w:val="24"/>
        </w:rPr>
        <w:t>的这一要求而放弃</w:t>
      </w:r>
      <w:r>
        <w:rPr>
          <w:rFonts w:hint="eastAsia" w:ascii="仿宋" w:hAnsi="仿宋" w:eastAsia="仿宋" w:cs="仿宋"/>
          <w:sz w:val="24"/>
          <w:szCs w:val="24"/>
        </w:rPr>
        <w:t>比选</w:t>
      </w:r>
      <w:r>
        <w:rPr>
          <w:rFonts w:ascii="仿宋" w:hAnsi="仿宋" w:eastAsia="仿宋" w:cs="仿宋"/>
          <w:sz w:val="24"/>
          <w:szCs w:val="24"/>
        </w:rPr>
        <w:t>响应，同意延长</w:t>
      </w:r>
      <w:r>
        <w:rPr>
          <w:rFonts w:hint="eastAsia" w:ascii="仿宋" w:hAnsi="仿宋" w:eastAsia="仿宋" w:cs="仿宋"/>
          <w:sz w:val="24"/>
          <w:szCs w:val="24"/>
        </w:rPr>
        <w:t>比选</w:t>
      </w:r>
      <w:r>
        <w:rPr>
          <w:rFonts w:ascii="仿宋" w:hAnsi="仿宋" w:eastAsia="仿宋" w:cs="仿宋"/>
          <w:sz w:val="24"/>
          <w:szCs w:val="24"/>
        </w:rPr>
        <w:t>响应有效期的供应商既不能要求也不允许修改其响应文件。受</w:t>
      </w:r>
      <w:r>
        <w:rPr>
          <w:rFonts w:hint="eastAsia" w:ascii="仿宋" w:hAnsi="仿宋" w:eastAsia="仿宋" w:cs="仿宋"/>
          <w:sz w:val="24"/>
          <w:szCs w:val="24"/>
        </w:rPr>
        <w:t>比选</w:t>
      </w:r>
      <w:r>
        <w:rPr>
          <w:rFonts w:ascii="仿宋" w:hAnsi="仿宋" w:eastAsia="仿宋" w:cs="仿宋"/>
          <w:sz w:val="24"/>
          <w:szCs w:val="24"/>
        </w:rPr>
        <w:t>响应有效期约束的所有权利与义务均延长至新的有效期。</w:t>
      </w:r>
    </w:p>
    <w:p>
      <w:pPr>
        <w:pStyle w:val="3"/>
        <w:spacing w:before="0" w:after="0" w:line="360" w:lineRule="auto"/>
        <w:rPr>
          <w:rFonts w:hint="eastAsia" w:ascii="仿宋" w:hAnsi="仿宋" w:eastAsia="仿宋"/>
          <w:sz w:val="24"/>
          <w:szCs w:val="24"/>
        </w:rPr>
      </w:pPr>
      <w:bookmarkStart w:id="60" w:name="_Hlt26954852"/>
      <w:bookmarkEnd w:id="60"/>
      <w:bookmarkStart w:id="61" w:name="_Hlt26954739"/>
      <w:bookmarkEnd w:id="61"/>
      <w:bookmarkStart w:id="62" w:name="_Toc513029224"/>
      <w:bookmarkStart w:id="63" w:name="_Toc120614217"/>
      <w:bookmarkStart w:id="64" w:name="_Toc16938540"/>
      <w:bookmarkStart w:id="65" w:name="_Toc20823296"/>
      <w:r>
        <w:rPr>
          <w:rFonts w:ascii="仿宋" w:hAnsi="仿宋" w:eastAsia="仿宋"/>
          <w:sz w:val="24"/>
          <w:szCs w:val="24"/>
        </w:rPr>
        <w:t>（四）响应文件的提交</w:t>
      </w:r>
      <w:bookmarkEnd w:id="62"/>
      <w:bookmarkEnd w:id="63"/>
      <w:bookmarkEnd w:id="64"/>
      <w:bookmarkEnd w:id="65"/>
    </w:p>
    <w:p>
      <w:pPr>
        <w:pStyle w:val="4"/>
        <w:spacing w:before="0" w:after="0" w:line="360" w:lineRule="auto"/>
        <w:rPr>
          <w:rFonts w:hint="eastAsia" w:ascii="仿宋" w:hAnsi="仿宋" w:eastAsia="仿宋"/>
          <w:sz w:val="24"/>
          <w:szCs w:val="24"/>
        </w:rPr>
      </w:pPr>
      <w:bookmarkStart w:id="66" w:name="_Toc20823297"/>
      <w:bookmarkStart w:id="67" w:name="_Toc513029225"/>
      <w:bookmarkStart w:id="68" w:name="_Toc16938541"/>
      <w:bookmarkStart w:id="69" w:name="_Toc462564084"/>
      <w:r>
        <w:rPr>
          <w:rFonts w:ascii="仿宋" w:hAnsi="仿宋" w:eastAsia="仿宋"/>
          <w:sz w:val="24"/>
          <w:szCs w:val="24"/>
        </w:rPr>
        <w:t>1.</w:t>
      </w:r>
      <w:bookmarkEnd w:id="66"/>
      <w:bookmarkEnd w:id="67"/>
      <w:bookmarkEnd w:id="68"/>
      <w:bookmarkEnd w:id="69"/>
      <w:r>
        <w:rPr>
          <w:rFonts w:hint="eastAsia" w:ascii="仿宋" w:hAnsi="仿宋" w:eastAsia="仿宋"/>
          <w:sz w:val="24"/>
          <w:szCs w:val="24"/>
        </w:rPr>
        <w:t>响应文件的密封及标记</w:t>
      </w: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1.1 </w:t>
      </w:r>
      <w:r>
        <w:rPr>
          <w:rFonts w:hint="eastAsia" w:ascii="仿宋" w:hAnsi="仿宋" w:eastAsia="仿宋" w:cs="仿宋"/>
          <w:sz w:val="24"/>
          <w:szCs w:val="24"/>
        </w:rPr>
        <w:t>商务技术文件应将正本、副本及图纸类等（如需提供图纸等其它资料的话）合并密封，统一装在一个密封袋或密封箱内（如有A3大小的图纸类，可单独密封）。</w:t>
      </w: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1.2 </w:t>
      </w:r>
      <w:r>
        <w:rPr>
          <w:rFonts w:hint="eastAsia" w:ascii="仿宋" w:hAnsi="仿宋" w:eastAsia="仿宋" w:cs="仿宋"/>
          <w:sz w:val="24"/>
          <w:szCs w:val="24"/>
        </w:rPr>
        <w:t>响应报价表须单独密封，不得出现于其他响应文件中。</w:t>
      </w:r>
    </w:p>
    <w:p>
      <w:pPr>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1.3 </w:t>
      </w:r>
      <w:r>
        <w:rPr>
          <w:rFonts w:hint="eastAsia" w:ascii="仿宋" w:hAnsi="仿宋" w:eastAsia="仿宋" w:cs="仿宋"/>
          <w:sz w:val="24"/>
          <w:szCs w:val="24"/>
        </w:rPr>
        <w:t>密封后应标明响应文件项目名称、项目编号、边缝处加盖单位骑缝章或骑缝签字，并注明于比选前不得启封。</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1.4 </w:t>
      </w:r>
      <w:r>
        <w:rPr>
          <w:rFonts w:hint="eastAsia" w:ascii="仿宋" w:hAnsi="仿宋" w:eastAsia="仿宋" w:cs="仿宋"/>
          <w:sz w:val="24"/>
          <w:szCs w:val="24"/>
        </w:rPr>
        <w:t>本代理机构将拒绝接收未按照比选文件要求密封的响应文件</w:t>
      </w:r>
      <w:r>
        <w:rPr>
          <w:rFonts w:ascii="仿宋" w:hAnsi="仿宋" w:eastAsia="仿宋" w:cs="仿宋"/>
          <w:sz w:val="24"/>
          <w:szCs w:val="24"/>
        </w:rPr>
        <w:t>。</w:t>
      </w:r>
      <w:bookmarkStart w:id="70" w:name="_Toc16938542"/>
      <w:bookmarkStart w:id="71" w:name="_Toc513029226"/>
      <w:bookmarkStart w:id="72" w:name="_Toc20823298"/>
    </w:p>
    <w:p>
      <w:pPr>
        <w:pStyle w:val="4"/>
        <w:spacing w:before="0" w:after="0" w:line="360" w:lineRule="auto"/>
        <w:rPr>
          <w:rFonts w:hint="eastAsia" w:ascii="仿宋" w:hAnsi="仿宋" w:eastAsia="仿宋"/>
          <w:sz w:val="24"/>
          <w:szCs w:val="24"/>
        </w:rPr>
      </w:pPr>
      <w:r>
        <w:rPr>
          <w:rFonts w:ascii="仿宋" w:hAnsi="仿宋" w:eastAsia="仿宋"/>
          <w:sz w:val="24"/>
          <w:szCs w:val="24"/>
        </w:rPr>
        <w:t>2.响应文件截止日期</w:t>
      </w:r>
      <w:bookmarkEnd w:id="70"/>
      <w:bookmarkEnd w:id="71"/>
      <w:bookmarkEnd w:id="72"/>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供应商</w:t>
      </w:r>
      <w:r>
        <w:rPr>
          <w:rFonts w:hint="eastAsia" w:ascii="仿宋" w:hAnsi="仿宋" w:eastAsia="仿宋" w:cs="仿宋"/>
          <w:sz w:val="24"/>
          <w:szCs w:val="24"/>
        </w:rPr>
        <w:t>提交</w:t>
      </w:r>
      <w:r>
        <w:rPr>
          <w:rFonts w:ascii="仿宋" w:hAnsi="仿宋" w:eastAsia="仿宋" w:cs="仿宋"/>
          <w:sz w:val="24"/>
          <w:szCs w:val="24"/>
        </w:rPr>
        <w:t>响应文件的时间不得迟于</w:t>
      </w:r>
      <w:r>
        <w:rPr>
          <w:rFonts w:hint="eastAsia" w:ascii="仿宋" w:hAnsi="仿宋" w:eastAsia="仿宋" w:cs="仿宋"/>
          <w:sz w:val="24"/>
          <w:szCs w:val="24"/>
        </w:rPr>
        <w:t>比选</w:t>
      </w:r>
      <w:r>
        <w:rPr>
          <w:rFonts w:ascii="仿宋" w:hAnsi="仿宋" w:eastAsia="仿宋" w:cs="仿宋"/>
          <w:sz w:val="24"/>
          <w:szCs w:val="24"/>
        </w:rPr>
        <w:t>公告中规定的响应文件提交截止时间。</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采购</w:t>
      </w:r>
      <w:r>
        <w:rPr>
          <w:rFonts w:hint="eastAsia" w:ascii="仿宋" w:hAnsi="仿宋" w:eastAsia="仿宋" w:cs="仿宋"/>
          <w:sz w:val="24"/>
          <w:szCs w:val="24"/>
        </w:rPr>
        <w:t>代理机构</w:t>
      </w:r>
      <w:r>
        <w:rPr>
          <w:rFonts w:ascii="仿宋" w:hAnsi="仿宋" w:eastAsia="仿宋" w:cs="仿宋"/>
          <w:sz w:val="24"/>
          <w:szCs w:val="24"/>
        </w:rPr>
        <w:t>可以按照规定，通过修改响应文件酌情延长响应文件提交截止日期，在此情况下，供应商的所有权利和义务以及供应商受制的截止日期均应以延长后新的截止日期为准。</w:t>
      </w:r>
    </w:p>
    <w:p>
      <w:pPr>
        <w:pStyle w:val="4"/>
        <w:spacing w:before="0" w:after="0" w:line="360" w:lineRule="auto"/>
        <w:rPr>
          <w:rFonts w:hint="eastAsia" w:ascii="仿宋" w:hAnsi="仿宋" w:eastAsia="仿宋"/>
          <w:sz w:val="24"/>
          <w:szCs w:val="24"/>
        </w:rPr>
      </w:pPr>
      <w:bookmarkStart w:id="73" w:name="_Toc513029227"/>
      <w:bookmarkStart w:id="74" w:name="_Toc20823299"/>
      <w:bookmarkStart w:id="75" w:name="_Toc16938543"/>
      <w:r>
        <w:rPr>
          <w:rFonts w:ascii="仿宋" w:hAnsi="仿宋" w:eastAsia="仿宋"/>
          <w:sz w:val="24"/>
          <w:szCs w:val="24"/>
        </w:rPr>
        <w:t>3.响应文件</w:t>
      </w:r>
      <w:bookmarkEnd w:id="73"/>
      <w:bookmarkEnd w:id="74"/>
      <w:bookmarkEnd w:id="75"/>
      <w:r>
        <w:rPr>
          <w:rFonts w:ascii="仿宋" w:hAnsi="仿宋" w:eastAsia="仿宋"/>
          <w:sz w:val="24"/>
          <w:szCs w:val="24"/>
        </w:rPr>
        <w:t>的拒收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采购</w:t>
      </w:r>
      <w:r>
        <w:rPr>
          <w:rFonts w:hint="eastAsia" w:ascii="仿宋" w:hAnsi="仿宋" w:eastAsia="仿宋" w:cs="仿宋"/>
          <w:sz w:val="24"/>
          <w:szCs w:val="24"/>
        </w:rPr>
        <w:t>代理机构</w:t>
      </w:r>
      <w:r>
        <w:rPr>
          <w:rFonts w:ascii="仿宋" w:hAnsi="仿宋" w:eastAsia="仿宋" w:cs="仿宋"/>
          <w:sz w:val="24"/>
          <w:szCs w:val="24"/>
        </w:rPr>
        <w:t>拒绝接收在其规定的响应文件提交截止时间后</w:t>
      </w:r>
      <w:r>
        <w:rPr>
          <w:rFonts w:hint="eastAsia" w:ascii="仿宋" w:hAnsi="仿宋" w:eastAsia="仿宋" w:cs="仿宋"/>
          <w:sz w:val="24"/>
          <w:szCs w:val="24"/>
        </w:rPr>
        <w:t>提交</w:t>
      </w:r>
      <w:r>
        <w:rPr>
          <w:rFonts w:ascii="仿宋" w:hAnsi="仿宋" w:eastAsia="仿宋" w:cs="仿宋"/>
          <w:sz w:val="24"/>
          <w:szCs w:val="24"/>
        </w:rPr>
        <w:t>的任何响应文件。</w:t>
      </w:r>
    </w:p>
    <w:p>
      <w:pPr>
        <w:pStyle w:val="4"/>
        <w:spacing w:before="0" w:after="0" w:line="360" w:lineRule="auto"/>
        <w:rPr>
          <w:rFonts w:hint="eastAsia" w:ascii="仿宋" w:hAnsi="仿宋" w:eastAsia="仿宋"/>
          <w:sz w:val="24"/>
          <w:szCs w:val="24"/>
        </w:rPr>
      </w:pPr>
      <w:bookmarkStart w:id="76" w:name="_Toc513029228"/>
      <w:bookmarkStart w:id="77" w:name="_Toc20823300"/>
      <w:bookmarkStart w:id="78" w:name="_Toc16938544"/>
      <w:r>
        <w:rPr>
          <w:rFonts w:ascii="仿宋" w:hAnsi="仿宋" w:eastAsia="仿宋"/>
          <w:sz w:val="24"/>
          <w:szCs w:val="24"/>
        </w:rPr>
        <w:t>4.响应文件的撤回和修改</w:t>
      </w:r>
      <w:bookmarkEnd w:id="76"/>
      <w:bookmarkEnd w:id="77"/>
      <w:bookmarkEnd w:id="78"/>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 响应文件的撤回</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4.1.1 响应文件的撤回</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供应商可在响应文件提交截止时间前，撤回其响应文件。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4.1.2 供应商撤回响应文件，则认为其不再参与本项目</w:t>
      </w:r>
      <w:r>
        <w:rPr>
          <w:rFonts w:hint="eastAsia" w:ascii="仿宋" w:hAnsi="仿宋" w:eastAsia="仿宋" w:cs="仿宋"/>
          <w:sz w:val="24"/>
          <w:szCs w:val="24"/>
        </w:rPr>
        <w:t>比选</w:t>
      </w:r>
      <w:r>
        <w:rPr>
          <w:rFonts w:ascii="仿宋" w:hAnsi="仿宋" w:eastAsia="仿宋" w:cs="仿宋"/>
          <w:sz w:val="24"/>
          <w:szCs w:val="24"/>
        </w:rPr>
        <w:t>活动。</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4.2 响应文件的修改</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供应商可在响应文件提交截止时间前，对其响应文件进行修改。</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4.3 在响应文件提交截止时间之后，供应商不得对其响应文件作任何修改。</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4.4 在响应文件截止时间至</w:t>
      </w:r>
      <w:r>
        <w:rPr>
          <w:rFonts w:hint="eastAsia" w:ascii="仿宋" w:hAnsi="仿宋" w:eastAsia="仿宋" w:cs="仿宋"/>
          <w:sz w:val="24"/>
          <w:szCs w:val="24"/>
        </w:rPr>
        <w:t>比选文件</w:t>
      </w:r>
      <w:r>
        <w:rPr>
          <w:rFonts w:ascii="仿宋" w:hAnsi="仿宋" w:eastAsia="仿宋" w:cs="仿宋"/>
          <w:sz w:val="24"/>
          <w:szCs w:val="24"/>
        </w:rPr>
        <w:t>中规定的</w:t>
      </w:r>
      <w:r>
        <w:rPr>
          <w:rFonts w:hint="eastAsia" w:ascii="仿宋" w:hAnsi="仿宋" w:eastAsia="仿宋" w:cs="仿宋"/>
          <w:sz w:val="24"/>
          <w:szCs w:val="24"/>
        </w:rPr>
        <w:t>比选</w:t>
      </w:r>
      <w:r>
        <w:rPr>
          <w:rFonts w:ascii="仿宋" w:hAnsi="仿宋" w:eastAsia="仿宋" w:cs="仿宋"/>
          <w:sz w:val="24"/>
          <w:szCs w:val="24"/>
        </w:rPr>
        <w:t>响应有效期满之间的这段时间内，供应商不得撤回其响应文件。</w:t>
      </w:r>
    </w:p>
    <w:p>
      <w:pPr>
        <w:pStyle w:val="3"/>
        <w:spacing w:before="0" w:after="0" w:line="360" w:lineRule="auto"/>
        <w:rPr>
          <w:rFonts w:hint="eastAsia" w:ascii="仿宋" w:hAnsi="仿宋" w:eastAsia="仿宋"/>
          <w:sz w:val="24"/>
          <w:szCs w:val="24"/>
        </w:rPr>
      </w:pPr>
      <w:bookmarkStart w:id="79" w:name="_Toc16938545"/>
      <w:bookmarkStart w:id="80" w:name="_Toc120614218"/>
      <w:bookmarkStart w:id="81" w:name="_Toc20823301"/>
      <w:bookmarkStart w:id="82" w:name="_Toc513029229"/>
      <w:r>
        <w:rPr>
          <w:rFonts w:ascii="仿宋" w:hAnsi="仿宋" w:eastAsia="仿宋"/>
          <w:sz w:val="24"/>
          <w:szCs w:val="24"/>
        </w:rPr>
        <w:t>（五）</w:t>
      </w:r>
      <w:bookmarkEnd w:id="79"/>
      <w:bookmarkEnd w:id="80"/>
      <w:bookmarkEnd w:id="81"/>
      <w:bookmarkEnd w:id="82"/>
      <w:bookmarkStart w:id="83" w:name="_Toc16938546"/>
      <w:bookmarkStart w:id="84" w:name="_Toc20823302"/>
      <w:bookmarkStart w:id="85" w:name="_Toc513029230"/>
      <w:r>
        <w:rPr>
          <w:rFonts w:hint="eastAsia" w:ascii="仿宋" w:hAnsi="仿宋" w:eastAsia="仿宋" w:cs="仿宋"/>
          <w:sz w:val="24"/>
          <w:szCs w:val="24"/>
        </w:rPr>
        <w:t>比选</w:t>
      </w:r>
      <w:r>
        <w:rPr>
          <w:rFonts w:ascii="仿宋" w:hAnsi="仿宋" w:eastAsia="仿宋"/>
          <w:sz w:val="24"/>
          <w:szCs w:val="24"/>
        </w:rPr>
        <w:t>与评审</w:t>
      </w:r>
    </w:p>
    <w:p>
      <w:pPr>
        <w:pStyle w:val="4"/>
        <w:spacing w:before="0" w:after="0" w:line="360" w:lineRule="auto"/>
        <w:rPr>
          <w:rFonts w:hint="eastAsia" w:ascii="仿宋" w:hAnsi="仿宋" w:eastAsia="仿宋"/>
          <w:sz w:val="24"/>
          <w:szCs w:val="24"/>
        </w:rPr>
      </w:pPr>
      <w:r>
        <w:rPr>
          <w:rFonts w:ascii="仿宋" w:hAnsi="仿宋" w:eastAsia="仿宋"/>
          <w:sz w:val="24"/>
          <w:szCs w:val="24"/>
        </w:rPr>
        <w:t>1.</w:t>
      </w:r>
      <w:r>
        <w:rPr>
          <w:rFonts w:hint="eastAsia" w:ascii="仿宋" w:hAnsi="仿宋" w:eastAsia="仿宋" w:cs="仿宋"/>
          <w:sz w:val="24"/>
          <w:szCs w:val="24"/>
        </w:rPr>
        <w:t>比选</w:t>
      </w:r>
      <w:r>
        <w:rPr>
          <w:rFonts w:ascii="仿宋" w:hAnsi="仿宋" w:eastAsia="仿宋"/>
          <w:sz w:val="24"/>
          <w:szCs w:val="24"/>
        </w:rPr>
        <w:t>仪式</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1.1 采购</w:t>
      </w:r>
      <w:r>
        <w:rPr>
          <w:rFonts w:hint="eastAsia" w:ascii="仿宋" w:hAnsi="仿宋" w:eastAsia="仿宋" w:cs="仿宋"/>
          <w:sz w:val="24"/>
          <w:szCs w:val="24"/>
        </w:rPr>
        <w:t>代理机构</w:t>
      </w:r>
      <w:r>
        <w:rPr>
          <w:rFonts w:ascii="仿宋" w:hAnsi="仿宋" w:eastAsia="仿宋" w:cs="仿宋"/>
          <w:sz w:val="24"/>
          <w:szCs w:val="24"/>
        </w:rPr>
        <w:t>将在</w:t>
      </w:r>
      <w:r>
        <w:rPr>
          <w:rFonts w:hint="eastAsia" w:ascii="仿宋" w:hAnsi="仿宋" w:eastAsia="仿宋" w:cs="仿宋"/>
          <w:sz w:val="24"/>
          <w:szCs w:val="24"/>
        </w:rPr>
        <w:t>比选</w:t>
      </w:r>
      <w:r>
        <w:rPr>
          <w:rFonts w:ascii="仿宋" w:hAnsi="仿宋" w:eastAsia="仿宋" w:cs="仿宋"/>
          <w:sz w:val="24"/>
          <w:szCs w:val="24"/>
        </w:rPr>
        <w:t>公告中规定的时间和地点组织</w:t>
      </w:r>
      <w:r>
        <w:rPr>
          <w:rFonts w:hint="eastAsia" w:ascii="仿宋" w:hAnsi="仿宋" w:eastAsia="仿宋" w:cs="仿宋"/>
          <w:sz w:val="24"/>
          <w:szCs w:val="24"/>
        </w:rPr>
        <w:t>比选</w:t>
      </w:r>
      <w:r>
        <w:rPr>
          <w:rFonts w:ascii="仿宋" w:hAnsi="仿宋" w:eastAsia="仿宋" w:cs="仿宋"/>
          <w:sz w:val="24"/>
          <w:szCs w:val="24"/>
        </w:rPr>
        <w:t>开始仪式。供应商应当参加</w:t>
      </w:r>
      <w:r>
        <w:rPr>
          <w:rFonts w:hint="eastAsia" w:ascii="仿宋" w:hAnsi="仿宋" w:eastAsia="仿宋" w:cs="仿宋"/>
          <w:sz w:val="24"/>
          <w:szCs w:val="24"/>
        </w:rPr>
        <w:t>比选</w:t>
      </w:r>
      <w:r>
        <w:rPr>
          <w:rFonts w:ascii="仿宋" w:hAnsi="仿宋" w:eastAsia="仿宋" w:cs="仿宋"/>
          <w:sz w:val="24"/>
          <w:szCs w:val="24"/>
        </w:rPr>
        <w:t>活动。</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1.2 </w:t>
      </w:r>
      <w:r>
        <w:rPr>
          <w:rFonts w:hint="eastAsia" w:ascii="仿宋" w:hAnsi="仿宋" w:eastAsia="仿宋" w:cs="仿宋"/>
          <w:sz w:val="24"/>
          <w:szCs w:val="24"/>
        </w:rPr>
        <w:t>比选</w:t>
      </w:r>
      <w:r>
        <w:rPr>
          <w:rFonts w:ascii="仿宋" w:hAnsi="仿宋" w:eastAsia="仿宋" w:cs="仿宋"/>
          <w:sz w:val="24"/>
          <w:szCs w:val="24"/>
        </w:rPr>
        <w:t>活动由采购</w:t>
      </w:r>
      <w:r>
        <w:rPr>
          <w:rFonts w:hint="eastAsia" w:ascii="仿宋" w:hAnsi="仿宋" w:eastAsia="仿宋" w:cs="仿宋"/>
          <w:sz w:val="24"/>
          <w:szCs w:val="24"/>
        </w:rPr>
        <w:t>代理机构</w:t>
      </w:r>
      <w:r>
        <w:rPr>
          <w:rFonts w:ascii="仿宋" w:hAnsi="仿宋" w:eastAsia="仿宋" w:cs="仿宋"/>
          <w:sz w:val="24"/>
          <w:szCs w:val="24"/>
        </w:rPr>
        <w:t>组织，</w:t>
      </w:r>
      <w:r>
        <w:rPr>
          <w:rFonts w:hint="eastAsia" w:ascii="仿宋" w:hAnsi="仿宋" w:eastAsia="仿宋" w:cs="仿宋"/>
          <w:sz w:val="24"/>
          <w:szCs w:val="24"/>
        </w:rPr>
        <w:t>比选结束后</w:t>
      </w:r>
      <w:r>
        <w:rPr>
          <w:rFonts w:ascii="仿宋" w:hAnsi="仿宋" w:eastAsia="仿宋" w:cs="仿宋"/>
          <w:sz w:val="24"/>
          <w:szCs w:val="24"/>
        </w:rPr>
        <w:t>公布各供应商的最后报价</w:t>
      </w:r>
      <w:r>
        <w:rPr>
          <w:rFonts w:hint="eastAsia" w:ascii="仿宋" w:hAnsi="仿宋" w:eastAsia="仿宋" w:cs="仿宋"/>
          <w:sz w:val="24"/>
          <w:szCs w:val="24"/>
        </w:rPr>
        <w:t>，最后报价应包括本项目的全部费用（含一切必须的辅助材料费用）及相关服务费等</w:t>
      </w:r>
      <w:r>
        <w:rPr>
          <w:rFonts w:ascii="仿宋" w:hAnsi="仿宋" w:eastAsia="仿宋" w:cs="仿宋"/>
          <w:sz w:val="24"/>
          <w:szCs w:val="24"/>
        </w:rPr>
        <w:t>。</w:t>
      </w:r>
    </w:p>
    <w:p>
      <w:pPr>
        <w:pStyle w:val="4"/>
        <w:spacing w:before="0" w:after="0" w:line="360" w:lineRule="auto"/>
        <w:rPr>
          <w:rFonts w:hint="eastAsia" w:ascii="仿宋" w:hAnsi="仿宋" w:eastAsia="仿宋"/>
          <w:sz w:val="24"/>
          <w:szCs w:val="24"/>
        </w:rPr>
      </w:pPr>
      <w:r>
        <w:rPr>
          <w:rFonts w:ascii="仿宋" w:hAnsi="仿宋" w:eastAsia="仿宋"/>
          <w:sz w:val="24"/>
          <w:szCs w:val="24"/>
        </w:rPr>
        <w:t>2.</w:t>
      </w:r>
      <w:r>
        <w:rPr>
          <w:rFonts w:hint="eastAsia" w:ascii="仿宋" w:hAnsi="仿宋" w:eastAsia="仿宋" w:cs="仿宋"/>
          <w:sz w:val="24"/>
          <w:szCs w:val="24"/>
        </w:rPr>
        <w:t>比选</w:t>
      </w:r>
      <w:r>
        <w:rPr>
          <w:rFonts w:ascii="仿宋" w:hAnsi="仿宋" w:eastAsia="仿宋"/>
          <w:sz w:val="24"/>
          <w:szCs w:val="24"/>
        </w:rPr>
        <w:t>小组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2.1 </w:t>
      </w:r>
      <w:r>
        <w:rPr>
          <w:rFonts w:hint="eastAsia" w:ascii="仿宋" w:hAnsi="仿宋" w:eastAsia="仿宋" w:cs="仿宋"/>
          <w:sz w:val="24"/>
          <w:szCs w:val="24"/>
        </w:rPr>
        <w:t>比选</w:t>
      </w:r>
      <w:r>
        <w:rPr>
          <w:rFonts w:ascii="仿宋" w:hAnsi="仿宋" w:eastAsia="仿宋" w:cs="仿宋"/>
          <w:sz w:val="24"/>
          <w:szCs w:val="24"/>
        </w:rPr>
        <w:t>开始仪式结束后，采购</w:t>
      </w:r>
      <w:r>
        <w:rPr>
          <w:rFonts w:hint="eastAsia" w:ascii="仿宋" w:hAnsi="仿宋" w:eastAsia="仿宋" w:cs="仿宋"/>
          <w:sz w:val="24"/>
          <w:szCs w:val="24"/>
        </w:rPr>
        <w:t>代理机构</w:t>
      </w:r>
      <w:r>
        <w:rPr>
          <w:rFonts w:ascii="仿宋" w:hAnsi="仿宋" w:eastAsia="仿宋" w:cs="仿宋"/>
          <w:sz w:val="24"/>
          <w:szCs w:val="24"/>
        </w:rPr>
        <w:t>将立即组织</w:t>
      </w:r>
      <w:r>
        <w:rPr>
          <w:rFonts w:hint="eastAsia" w:ascii="仿宋" w:hAnsi="仿宋" w:eastAsia="仿宋" w:cs="仿宋"/>
          <w:sz w:val="24"/>
          <w:szCs w:val="24"/>
        </w:rPr>
        <w:t>比选</w:t>
      </w:r>
      <w:r>
        <w:rPr>
          <w:rFonts w:ascii="仿宋" w:hAnsi="仿宋" w:eastAsia="仿宋" w:cs="仿宋"/>
          <w:sz w:val="24"/>
          <w:szCs w:val="24"/>
        </w:rPr>
        <w:t>小组进行评审。</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2.2 </w:t>
      </w:r>
      <w:r>
        <w:rPr>
          <w:rFonts w:hint="eastAsia" w:ascii="仿宋" w:hAnsi="仿宋" w:eastAsia="仿宋" w:cs="仿宋"/>
          <w:sz w:val="24"/>
          <w:szCs w:val="24"/>
        </w:rPr>
        <w:t>比选</w:t>
      </w:r>
      <w:r>
        <w:rPr>
          <w:rFonts w:ascii="仿宋" w:hAnsi="仿宋" w:eastAsia="仿宋" w:cs="仿宋"/>
          <w:sz w:val="24"/>
          <w:szCs w:val="24"/>
        </w:rPr>
        <w:t>小组由采购人代表和评审专家共3人以上单数组成，其中评审专家人数不得少于</w:t>
      </w:r>
      <w:r>
        <w:rPr>
          <w:rFonts w:hint="eastAsia" w:ascii="仿宋" w:hAnsi="仿宋" w:eastAsia="仿宋" w:cs="仿宋"/>
          <w:sz w:val="24"/>
          <w:szCs w:val="24"/>
        </w:rPr>
        <w:t>比选</w:t>
      </w:r>
      <w:r>
        <w:rPr>
          <w:rFonts w:ascii="仿宋" w:hAnsi="仿宋" w:eastAsia="仿宋" w:cs="仿宋"/>
          <w:sz w:val="24"/>
          <w:szCs w:val="24"/>
        </w:rPr>
        <w:t>小组成员总数的2/3。采购人不得以评审专家身份参加本部门或本单位采购项目的评审。本</w:t>
      </w:r>
      <w:r>
        <w:rPr>
          <w:rFonts w:hint="eastAsia" w:ascii="仿宋" w:hAnsi="仿宋" w:eastAsia="仿宋" w:cs="仿宋"/>
          <w:sz w:val="24"/>
          <w:szCs w:val="24"/>
        </w:rPr>
        <w:t>代理机构</w:t>
      </w:r>
      <w:r>
        <w:rPr>
          <w:rFonts w:ascii="仿宋" w:hAnsi="仿宋" w:eastAsia="仿宋" w:cs="仿宋"/>
          <w:sz w:val="24"/>
          <w:szCs w:val="24"/>
        </w:rPr>
        <w:t>人员不得参加本机构代理的采购项目的评审。</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2.3 超过公开招标限额标准的项目，</w:t>
      </w:r>
      <w:r>
        <w:rPr>
          <w:rFonts w:hint="eastAsia" w:ascii="仿宋" w:hAnsi="仿宋" w:eastAsia="仿宋" w:cs="仿宋"/>
          <w:sz w:val="24"/>
          <w:szCs w:val="24"/>
        </w:rPr>
        <w:t>比选</w:t>
      </w:r>
      <w:r>
        <w:rPr>
          <w:rFonts w:ascii="仿宋" w:hAnsi="仿宋" w:eastAsia="仿宋" w:cs="仿宋"/>
          <w:sz w:val="24"/>
          <w:szCs w:val="24"/>
        </w:rPr>
        <w:t>小组应当由5人以上单数组成。</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2.4 </w:t>
      </w:r>
      <w:r>
        <w:rPr>
          <w:rFonts w:hint="eastAsia" w:ascii="仿宋" w:hAnsi="仿宋" w:eastAsia="仿宋" w:cs="仿宋"/>
          <w:sz w:val="24"/>
          <w:szCs w:val="24"/>
        </w:rPr>
        <w:t>限额以上项目</w:t>
      </w:r>
      <w:r>
        <w:rPr>
          <w:rFonts w:ascii="仿宋" w:hAnsi="仿宋" w:eastAsia="仿宋" w:cs="仿宋"/>
          <w:sz w:val="24"/>
          <w:szCs w:val="24"/>
        </w:rPr>
        <w:t>采用</w:t>
      </w:r>
      <w:r>
        <w:rPr>
          <w:rFonts w:hint="eastAsia" w:ascii="仿宋" w:hAnsi="仿宋" w:eastAsia="仿宋" w:cs="仿宋"/>
          <w:sz w:val="24"/>
          <w:szCs w:val="24"/>
        </w:rPr>
        <w:t>比选</w:t>
      </w:r>
      <w:r>
        <w:rPr>
          <w:rFonts w:ascii="仿宋" w:hAnsi="仿宋" w:eastAsia="仿宋" w:cs="仿宋"/>
          <w:sz w:val="24"/>
          <w:szCs w:val="24"/>
        </w:rPr>
        <w:t>的采购项目，评审专家应当从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w:t>
      </w:r>
      <w:r>
        <w:rPr>
          <w:rFonts w:hint="eastAsia" w:ascii="仿宋" w:hAnsi="仿宋" w:eastAsia="仿宋" w:cs="仿宋"/>
          <w:sz w:val="24"/>
          <w:szCs w:val="24"/>
        </w:rPr>
        <w:t>比选</w:t>
      </w:r>
      <w:r>
        <w:rPr>
          <w:rFonts w:ascii="仿宋" w:hAnsi="仿宋" w:eastAsia="仿宋" w:cs="仿宋"/>
          <w:sz w:val="24"/>
          <w:szCs w:val="24"/>
        </w:rPr>
        <w:t>采购项目，评审专家中应当包含1名法律专家。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2.5 </w:t>
      </w:r>
      <w:r>
        <w:rPr>
          <w:rFonts w:hint="eastAsia" w:ascii="仿宋" w:hAnsi="仿宋" w:eastAsia="仿宋" w:cs="仿宋"/>
          <w:sz w:val="24"/>
          <w:szCs w:val="24"/>
        </w:rPr>
        <w:t>比选</w:t>
      </w:r>
      <w:r>
        <w:rPr>
          <w:rFonts w:ascii="仿宋" w:hAnsi="仿宋" w:eastAsia="仿宋" w:cs="仿宋"/>
          <w:sz w:val="24"/>
          <w:szCs w:val="24"/>
        </w:rPr>
        <w:t>小组独立工作，负责评审所有响应文件并确定成交</w:t>
      </w:r>
      <w:r>
        <w:rPr>
          <w:rFonts w:hint="eastAsia" w:ascii="仿宋" w:hAnsi="仿宋" w:eastAsia="仿宋" w:cs="仿宋"/>
          <w:sz w:val="24"/>
          <w:szCs w:val="24"/>
        </w:rPr>
        <w:t>候选</w:t>
      </w:r>
      <w:r>
        <w:rPr>
          <w:rFonts w:ascii="仿宋" w:hAnsi="仿宋" w:eastAsia="仿宋" w:cs="仿宋"/>
          <w:sz w:val="24"/>
          <w:szCs w:val="24"/>
        </w:rPr>
        <w:t>人。</w:t>
      </w:r>
    </w:p>
    <w:p>
      <w:pPr>
        <w:pStyle w:val="4"/>
        <w:spacing w:before="0" w:after="0" w:line="360" w:lineRule="auto"/>
        <w:rPr>
          <w:rFonts w:hint="eastAsia" w:ascii="仿宋" w:hAnsi="仿宋" w:eastAsia="仿宋"/>
          <w:sz w:val="24"/>
          <w:szCs w:val="24"/>
        </w:rPr>
      </w:pPr>
      <w:r>
        <w:rPr>
          <w:rFonts w:ascii="仿宋" w:hAnsi="仿宋" w:eastAsia="仿宋"/>
          <w:sz w:val="24"/>
          <w:szCs w:val="24"/>
        </w:rPr>
        <w:t>3.</w:t>
      </w:r>
      <w:r>
        <w:rPr>
          <w:rFonts w:hint="eastAsia" w:ascii="仿宋" w:hAnsi="仿宋" w:eastAsia="仿宋" w:cs="仿宋"/>
          <w:sz w:val="24"/>
          <w:szCs w:val="24"/>
        </w:rPr>
        <w:t>比选</w:t>
      </w:r>
      <w:r>
        <w:rPr>
          <w:rFonts w:ascii="仿宋" w:hAnsi="仿宋" w:eastAsia="仿宋"/>
          <w:sz w:val="24"/>
          <w:szCs w:val="24"/>
        </w:rPr>
        <w:t>评审过程的保密与公正</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3.1 </w:t>
      </w:r>
      <w:r>
        <w:rPr>
          <w:rFonts w:hint="eastAsia" w:ascii="仿宋" w:hAnsi="仿宋" w:eastAsia="仿宋" w:cs="仿宋"/>
          <w:sz w:val="24"/>
          <w:szCs w:val="24"/>
        </w:rPr>
        <w:t>比选</w:t>
      </w:r>
      <w:r>
        <w:rPr>
          <w:rFonts w:ascii="仿宋" w:hAnsi="仿宋" w:eastAsia="仿宋" w:cs="仿宋"/>
          <w:sz w:val="24"/>
          <w:szCs w:val="24"/>
        </w:rPr>
        <w:t>小组、采购人和采购</w:t>
      </w:r>
      <w:r>
        <w:rPr>
          <w:rFonts w:hint="eastAsia" w:ascii="仿宋" w:hAnsi="仿宋" w:eastAsia="仿宋" w:cs="仿宋"/>
          <w:sz w:val="24"/>
          <w:szCs w:val="24"/>
        </w:rPr>
        <w:t>代理机构</w:t>
      </w:r>
      <w:r>
        <w:rPr>
          <w:rFonts w:ascii="仿宋" w:hAnsi="仿宋" w:eastAsia="仿宋" w:cs="仿宋"/>
          <w:sz w:val="24"/>
          <w:szCs w:val="24"/>
        </w:rPr>
        <w:t>工作人员、相关监督人员等与评审工作有关的人员，对评审情况以及在评审过程中获悉的国家秘密、商业秘密负有保密责任。</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3.2 在</w:t>
      </w:r>
      <w:r>
        <w:rPr>
          <w:rFonts w:hint="eastAsia" w:ascii="仿宋" w:hAnsi="仿宋" w:eastAsia="仿宋" w:cs="仿宋"/>
          <w:sz w:val="24"/>
          <w:szCs w:val="24"/>
        </w:rPr>
        <w:t>比选</w:t>
      </w:r>
      <w:r>
        <w:rPr>
          <w:rFonts w:ascii="仿宋" w:hAnsi="仿宋" w:eastAsia="仿宋" w:cs="仿宋"/>
          <w:sz w:val="24"/>
          <w:szCs w:val="24"/>
        </w:rPr>
        <w:t>评审过程中，</w:t>
      </w:r>
      <w:r>
        <w:rPr>
          <w:rFonts w:hint="eastAsia" w:ascii="仿宋" w:hAnsi="仿宋" w:eastAsia="仿宋" w:cs="仿宋"/>
          <w:sz w:val="24"/>
          <w:szCs w:val="24"/>
        </w:rPr>
        <w:t>比选</w:t>
      </w:r>
      <w:r>
        <w:rPr>
          <w:rFonts w:ascii="仿宋" w:hAnsi="仿宋" w:eastAsia="仿宋" w:cs="仿宋"/>
          <w:sz w:val="24"/>
          <w:szCs w:val="24"/>
        </w:rPr>
        <w:t>供应商不得以任何行为影响</w:t>
      </w:r>
      <w:r>
        <w:rPr>
          <w:rFonts w:hint="eastAsia" w:ascii="仿宋" w:hAnsi="仿宋" w:eastAsia="仿宋" w:cs="仿宋"/>
          <w:sz w:val="24"/>
          <w:szCs w:val="24"/>
        </w:rPr>
        <w:t>比选</w:t>
      </w:r>
      <w:r>
        <w:rPr>
          <w:rFonts w:ascii="仿宋" w:hAnsi="仿宋" w:eastAsia="仿宋" w:cs="仿宋"/>
          <w:sz w:val="24"/>
          <w:szCs w:val="24"/>
        </w:rPr>
        <w:t>评审过程，否则其响应文件将被作为无效响应文件。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3.3 </w:t>
      </w:r>
      <w:r>
        <w:rPr>
          <w:rFonts w:hint="eastAsia" w:ascii="仿宋" w:hAnsi="仿宋" w:eastAsia="仿宋" w:cs="仿宋"/>
          <w:sz w:val="24"/>
          <w:szCs w:val="24"/>
        </w:rPr>
        <w:t>比选</w:t>
      </w:r>
      <w:r>
        <w:rPr>
          <w:rFonts w:ascii="仿宋" w:hAnsi="仿宋" w:eastAsia="仿宋" w:cs="仿宋"/>
          <w:sz w:val="24"/>
          <w:szCs w:val="24"/>
        </w:rPr>
        <w:t>小组成员应当按照客观、公正、审慎的原则，根据比选文件规定的评审程序、评审方法和评审标准进行独立评审。未实质性响应比选文件的响应文件按无效响应处理，</w:t>
      </w:r>
      <w:r>
        <w:rPr>
          <w:rFonts w:hint="eastAsia" w:ascii="仿宋" w:hAnsi="仿宋" w:eastAsia="仿宋" w:cs="仿宋"/>
          <w:sz w:val="24"/>
          <w:szCs w:val="24"/>
        </w:rPr>
        <w:t>比选</w:t>
      </w:r>
      <w:r>
        <w:rPr>
          <w:rFonts w:ascii="仿宋" w:hAnsi="仿宋" w:eastAsia="仿宋" w:cs="仿宋"/>
          <w:sz w:val="24"/>
          <w:szCs w:val="24"/>
        </w:rPr>
        <w:t>小组应当告知提交响应文件的供应商。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3.4 评审开始后，直至向成交供应商授予合同时止，凡是与审查、澄清、评价和比较响应的有关资料以及授标建议等，采购人、</w:t>
      </w:r>
      <w:r>
        <w:rPr>
          <w:rFonts w:hint="eastAsia" w:ascii="仿宋" w:hAnsi="仿宋" w:eastAsia="仿宋" w:cs="仿宋"/>
          <w:sz w:val="24"/>
          <w:szCs w:val="24"/>
        </w:rPr>
        <w:t>比选</w:t>
      </w:r>
      <w:r>
        <w:rPr>
          <w:rFonts w:ascii="仿宋" w:hAnsi="仿宋" w:eastAsia="仿宋" w:cs="仿宋"/>
          <w:sz w:val="24"/>
          <w:szCs w:val="24"/>
        </w:rPr>
        <w:t>小组、采购</w:t>
      </w:r>
      <w:r>
        <w:rPr>
          <w:rFonts w:hint="eastAsia" w:ascii="仿宋" w:hAnsi="仿宋" w:eastAsia="仿宋" w:cs="仿宋"/>
          <w:sz w:val="24"/>
          <w:szCs w:val="24"/>
        </w:rPr>
        <w:t>代理机构</w:t>
      </w:r>
      <w:r>
        <w:rPr>
          <w:rFonts w:ascii="仿宋" w:hAnsi="仿宋" w:eastAsia="仿宋" w:cs="仿宋"/>
          <w:sz w:val="24"/>
          <w:szCs w:val="24"/>
        </w:rPr>
        <w:t>均不得向供应商或与评标无关的其他人员透露。</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3.5 在评审期间，采购</w:t>
      </w:r>
      <w:r>
        <w:rPr>
          <w:rFonts w:hint="eastAsia" w:ascii="仿宋" w:hAnsi="仿宋" w:eastAsia="仿宋" w:cs="仿宋"/>
          <w:sz w:val="24"/>
          <w:szCs w:val="24"/>
        </w:rPr>
        <w:t>代理机构</w:t>
      </w:r>
      <w:r>
        <w:rPr>
          <w:rFonts w:ascii="仿宋" w:hAnsi="仿宋" w:eastAsia="仿宋" w:cs="仿宋"/>
          <w:sz w:val="24"/>
          <w:szCs w:val="24"/>
        </w:rPr>
        <w:t>将设专门人员与供应商联系。</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3.6 采购</w:t>
      </w:r>
      <w:r>
        <w:rPr>
          <w:rFonts w:hint="eastAsia" w:ascii="仿宋" w:hAnsi="仿宋" w:eastAsia="仿宋" w:cs="仿宋"/>
          <w:sz w:val="24"/>
          <w:szCs w:val="24"/>
        </w:rPr>
        <w:t>代理机构</w:t>
      </w:r>
      <w:r>
        <w:rPr>
          <w:rFonts w:ascii="仿宋" w:hAnsi="仿宋" w:eastAsia="仿宋" w:cs="仿宋"/>
          <w:sz w:val="24"/>
          <w:szCs w:val="24"/>
        </w:rPr>
        <w:t>和评审小组不向未成交的供应商解释未成交原因，也不公布评审过程中的相关细节。</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3.7 </w:t>
      </w:r>
      <w:r>
        <w:rPr>
          <w:rFonts w:hint="eastAsia" w:ascii="仿宋" w:hAnsi="仿宋" w:eastAsia="仿宋" w:cs="仿宋"/>
          <w:sz w:val="24"/>
          <w:szCs w:val="24"/>
        </w:rPr>
        <w:t>采用综合评分法的项目，公布评标结果时一并公布所有供应商的评审得分及排序情况。</w:t>
      </w:r>
    </w:p>
    <w:p>
      <w:pPr>
        <w:pStyle w:val="4"/>
        <w:spacing w:before="0" w:after="0" w:line="360" w:lineRule="auto"/>
        <w:rPr>
          <w:rFonts w:hint="eastAsia" w:ascii="仿宋" w:hAnsi="仿宋" w:eastAsia="仿宋"/>
          <w:sz w:val="24"/>
          <w:szCs w:val="24"/>
        </w:rPr>
      </w:pPr>
      <w:r>
        <w:rPr>
          <w:rFonts w:ascii="仿宋" w:hAnsi="仿宋" w:eastAsia="仿宋"/>
          <w:sz w:val="24"/>
          <w:szCs w:val="24"/>
        </w:rPr>
        <w:t>4</w:t>
      </w:r>
      <w:r>
        <w:rPr>
          <w:rFonts w:hint="eastAsia" w:ascii="仿宋" w:hAnsi="仿宋" w:eastAsia="仿宋"/>
          <w:sz w:val="24"/>
          <w:szCs w:val="24"/>
        </w:rPr>
        <w:t>.</w:t>
      </w:r>
      <w:r>
        <w:rPr>
          <w:rFonts w:ascii="仿宋" w:hAnsi="仿宋" w:eastAsia="仿宋"/>
          <w:sz w:val="24"/>
          <w:szCs w:val="24"/>
        </w:rPr>
        <w:t>评审过程的澄清</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4.1 评审期间，为有助于对响应文件的审查、评价和比较，</w:t>
      </w:r>
      <w:r>
        <w:rPr>
          <w:rFonts w:hint="eastAsia" w:ascii="仿宋" w:hAnsi="仿宋" w:eastAsia="仿宋" w:cs="仿宋"/>
          <w:sz w:val="24"/>
          <w:szCs w:val="24"/>
        </w:rPr>
        <w:t>比选</w:t>
      </w:r>
      <w:r>
        <w:rPr>
          <w:rFonts w:ascii="仿宋" w:hAnsi="仿宋" w:eastAsia="仿宋" w:cs="仿宋"/>
          <w:sz w:val="24"/>
          <w:szCs w:val="24"/>
        </w:rPr>
        <w:t>小组有权以电子函件形式要求响应人对其响应文件进行澄清，但并非对每个供应商都作澄清要求。</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4.2 接到</w:t>
      </w:r>
      <w:r>
        <w:rPr>
          <w:rFonts w:hint="eastAsia" w:ascii="仿宋" w:hAnsi="仿宋" w:eastAsia="仿宋" w:cs="仿宋"/>
          <w:sz w:val="24"/>
          <w:szCs w:val="24"/>
        </w:rPr>
        <w:t>比选</w:t>
      </w:r>
      <w:r>
        <w:rPr>
          <w:rFonts w:ascii="仿宋" w:hAnsi="仿宋" w:eastAsia="仿宋" w:cs="仿宋"/>
          <w:sz w:val="24"/>
          <w:szCs w:val="24"/>
        </w:rPr>
        <w:t>小组澄清要求的供应商应派人按</w:t>
      </w:r>
      <w:r>
        <w:rPr>
          <w:rFonts w:hint="eastAsia" w:ascii="仿宋" w:hAnsi="仿宋" w:eastAsia="仿宋" w:cs="仿宋"/>
          <w:sz w:val="24"/>
          <w:szCs w:val="24"/>
        </w:rPr>
        <w:t>比选</w:t>
      </w:r>
      <w:r>
        <w:rPr>
          <w:rFonts w:ascii="仿宋" w:hAnsi="仿宋" w:eastAsia="仿宋" w:cs="仿宋"/>
          <w:sz w:val="24"/>
          <w:szCs w:val="24"/>
        </w:rPr>
        <w:t>小组规定的时间和格式做出澄清，澄清的内容作为响应文件的补充部分，但实质性的内容不得做任何更改。</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4.3 接到</w:t>
      </w:r>
      <w:r>
        <w:rPr>
          <w:rFonts w:hint="eastAsia" w:ascii="仿宋" w:hAnsi="仿宋" w:eastAsia="仿宋" w:cs="仿宋"/>
          <w:sz w:val="24"/>
          <w:szCs w:val="24"/>
        </w:rPr>
        <w:t>比选</w:t>
      </w:r>
      <w:r>
        <w:rPr>
          <w:rFonts w:ascii="仿宋" w:hAnsi="仿宋" w:eastAsia="仿宋" w:cs="仿宋"/>
          <w:sz w:val="24"/>
          <w:szCs w:val="24"/>
        </w:rPr>
        <w:t>小组澄清要求的供应商如未按规定做出澄清，其风险由供应商自行承担。</w:t>
      </w:r>
    </w:p>
    <w:p>
      <w:pPr>
        <w:pStyle w:val="4"/>
        <w:spacing w:before="0" w:after="0" w:line="360" w:lineRule="auto"/>
        <w:rPr>
          <w:rFonts w:hint="eastAsia" w:ascii="仿宋" w:hAnsi="仿宋" w:eastAsia="仿宋"/>
          <w:sz w:val="24"/>
          <w:szCs w:val="24"/>
        </w:rPr>
      </w:pPr>
      <w:r>
        <w:rPr>
          <w:rFonts w:ascii="仿宋" w:hAnsi="仿宋" w:eastAsia="仿宋"/>
          <w:sz w:val="24"/>
          <w:szCs w:val="24"/>
        </w:rPr>
        <w:t>5.对响应文件的初审</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5.1 响应文件初审分为资格性审查和符合性审查。</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5.1.1 资格性检查：依据法律法规和比选文件的规定，由采购人对响应文件中的资格审查证明材料进行审查，资格审查的结论，采购人以书面形式向</w:t>
      </w:r>
      <w:r>
        <w:rPr>
          <w:rFonts w:hint="eastAsia" w:ascii="仿宋" w:hAnsi="仿宋" w:eastAsia="仿宋" w:cs="仿宋"/>
          <w:sz w:val="24"/>
          <w:szCs w:val="24"/>
        </w:rPr>
        <w:t>比选</w:t>
      </w:r>
      <w:r>
        <w:rPr>
          <w:rFonts w:ascii="仿宋" w:hAnsi="仿宋" w:eastAsia="仿宋" w:cs="仿宋"/>
          <w:sz w:val="24"/>
          <w:szCs w:val="24"/>
        </w:rPr>
        <w:t>小组进行反馈。</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5.1.2 符合性审查：依据比选文件的规定，由</w:t>
      </w:r>
      <w:r>
        <w:rPr>
          <w:rFonts w:hint="eastAsia" w:ascii="仿宋" w:hAnsi="仿宋" w:eastAsia="仿宋" w:cs="仿宋"/>
          <w:sz w:val="24"/>
          <w:szCs w:val="24"/>
        </w:rPr>
        <w:t>比选</w:t>
      </w:r>
      <w:r>
        <w:rPr>
          <w:rFonts w:ascii="仿宋" w:hAnsi="仿宋" w:eastAsia="仿宋" w:cs="仿宋"/>
          <w:sz w:val="24"/>
          <w:szCs w:val="24"/>
        </w:rPr>
        <w:t>小组从响应文件的有效性、完整性和对比选文件的响应程度进行审查，以确定是否对比选文件的实质性要求作出响应。</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5.1.3 未通过资格审查或符合性审查的供应商，采购</w:t>
      </w:r>
      <w:r>
        <w:rPr>
          <w:rFonts w:hint="eastAsia" w:ascii="仿宋" w:hAnsi="仿宋" w:eastAsia="仿宋" w:cs="仿宋"/>
          <w:sz w:val="24"/>
          <w:szCs w:val="24"/>
        </w:rPr>
        <w:t>代理机构</w:t>
      </w:r>
      <w:r>
        <w:rPr>
          <w:rFonts w:ascii="仿宋" w:hAnsi="仿宋" w:eastAsia="仿宋" w:cs="仿宋"/>
          <w:sz w:val="24"/>
          <w:szCs w:val="24"/>
        </w:rPr>
        <w:t>将告知未通过资格审查或符合性审查的原因，评审结束后，采购</w:t>
      </w:r>
      <w:r>
        <w:rPr>
          <w:rFonts w:hint="eastAsia" w:ascii="仿宋" w:hAnsi="仿宋" w:eastAsia="仿宋" w:cs="仿宋"/>
          <w:sz w:val="24"/>
          <w:szCs w:val="24"/>
        </w:rPr>
        <w:t>代理机构</w:t>
      </w:r>
      <w:r>
        <w:rPr>
          <w:rFonts w:ascii="仿宋" w:hAnsi="仿宋" w:eastAsia="仿宋" w:cs="仿宋"/>
          <w:sz w:val="24"/>
          <w:szCs w:val="24"/>
        </w:rPr>
        <w:t>将不再告知未通过资格审查或符合性审查的原因。</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5.2 在正式</w:t>
      </w:r>
      <w:r>
        <w:rPr>
          <w:rFonts w:hint="eastAsia" w:ascii="仿宋" w:hAnsi="仿宋" w:eastAsia="仿宋" w:cs="仿宋"/>
          <w:sz w:val="24"/>
          <w:szCs w:val="24"/>
        </w:rPr>
        <w:t>比选</w:t>
      </w:r>
      <w:r>
        <w:rPr>
          <w:rFonts w:ascii="仿宋" w:hAnsi="仿宋" w:eastAsia="仿宋" w:cs="仿宋"/>
          <w:sz w:val="24"/>
          <w:szCs w:val="24"/>
        </w:rPr>
        <w:t>之前，</w:t>
      </w:r>
      <w:r>
        <w:rPr>
          <w:rFonts w:hint="eastAsia" w:ascii="仿宋" w:hAnsi="仿宋" w:eastAsia="仿宋" w:cs="仿宋"/>
          <w:sz w:val="24"/>
          <w:szCs w:val="24"/>
        </w:rPr>
        <w:t>比选</w:t>
      </w:r>
      <w:r>
        <w:rPr>
          <w:rFonts w:ascii="仿宋" w:hAnsi="仿宋" w:eastAsia="仿宋" w:cs="仿宋"/>
          <w:sz w:val="24"/>
          <w:szCs w:val="24"/>
        </w:rPr>
        <w:t>小组将首先审查每份响应文件是否实质性响应了比选文件的要求。实质性响应的响应文件应该是与比选文件要求的全部条款、条件和规格相符，没有重大负偏离或保留。</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所谓重大负偏离或保留是指与比选文件规定的实质性要求存在负偏离，或者在实质上与比选文件不一致，而且限制了合同中买方和见证方的权利或供应商的义务，纠正这些偏离或保留将会对其他实质性响应要求的供应商的竞争地位产生不公正的影响。重大偏离由</w:t>
      </w:r>
      <w:r>
        <w:rPr>
          <w:rFonts w:hint="eastAsia" w:ascii="仿宋" w:hAnsi="仿宋" w:eastAsia="仿宋" w:cs="仿宋"/>
          <w:sz w:val="24"/>
          <w:szCs w:val="24"/>
        </w:rPr>
        <w:t>比选</w:t>
      </w:r>
      <w:r>
        <w:rPr>
          <w:rFonts w:ascii="仿宋" w:hAnsi="仿宋" w:eastAsia="仿宋" w:cs="仿宋"/>
          <w:sz w:val="24"/>
          <w:szCs w:val="24"/>
        </w:rPr>
        <w:t>小组按照少数服从多数的原则认定。</w:t>
      </w:r>
      <w:r>
        <w:rPr>
          <w:rFonts w:hint="eastAsia" w:ascii="仿宋" w:hAnsi="仿宋" w:eastAsia="仿宋" w:cs="仿宋"/>
          <w:sz w:val="24"/>
          <w:szCs w:val="24"/>
        </w:rPr>
        <w:t>比选</w:t>
      </w:r>
      <w:r>
        <w:rPr>
          <w:rFonts w:ascii="仿宋" w:hAnsi="仿宋" w:eastAsia="仿宋" w:cs="仿宋"/>
          <w:sz w:val="24"/>
          <w:szCs w:val="24"/>
        </w:rPr>
        <w:t>小组决定响应文件的响应性只根据响应文件本身的内容，而不寻求外部的证据。</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5.3 如果响应文件实质上没有响应比选文件的要求，</w:t>
      </w:r>
      <w:r>
        <w:rPr>
          <w:rFonts w:hint="eastAsia" w:ascii="仿宋" w:hAnsi="仿宋" w:eastAsia="仿宋" w:cs="仿宋"/>
          <w:sz w:val="24"/>
          <w:szCs w:val="24"/>
        </w:rPr>
        <w:t>比选</w:t>
      </w:r>
      <w:r>
        <w:rPr>
          <w:rFonts w:ascii="仿宋" w:hAnsi="仿宋" w:eastAsia="仿宋" w:cs="仿宋"/>
          <w:sz w:val="24"/>
          <w:szCs w:val="24"/>
        </w:rPr>
        <w:t>小组将予以拒绝，供应商不得通过修改或撤销不合要求的偏离或保留而使其响应文件成为实质性响应的文件。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5.4 </w:t>
      </w:r>
      <w:r>
        <w:rPr>
          <w:rFonts w:hint="eastAsia" w:ascii="仿宋" w:hAnsi="仿宋" w:eastAsia="仿宋" w:cs="仿宋"/>
          <w:sz w:val="24"/>
          <w:szCs w:val="24"/>
        </w:rPr>
        <w:t>比选</w:t>
      </w:r>
      <w:r>
        <w:rPr>
          <w:rFonts w:ascii="仿宋" w:hAnsi="仿宋" w:eastAsia="仿宋" w:cs="仿宋"/>
          <w:sz w:val="24"/>
          <w:szCs w:val="24"/>
        </w:rPr>
        <w:t>小组将对确定为实质性响应的文件进行进一步审核，看其是否有计算上或累加上的算术错误，修正错误的原则如下：</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（1）响应文件中报价总表内容与响应文件中相应内容不一致的，以报价总表为准。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（2）大写金额和小写金额不一致的，以大写金额为准。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（3）单价金额小数点或者百分比有明显错位的，以报价总表的总价为准，并修改单价。</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（4）总价金额与按单价汇总金额不一致的，以单价金额计算结果为准。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同时出现两种以上错误的，按照前款规定的顺序修正。</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5.5 </w:t>
      </w:r>
      <w:r>
        <w:rPr>
          <w:rFonts w:hint="eastAsia" w:ascii="仿宋" w:hAnsi="仿宋" w:eastAsia="仿宋" w:cs="仿宋"/>
          <w:sz w:val="24"/>
          <w:szCs w:val="24"/>
        </w:rPr>
        <w:t>比选</w:t>
      </w:r>
      <w:r>
        <w:rPr>
          <w:rFonts w:ascii="仿宋" w:hAnsi="仿宋" w:eastAsia="仿宋" w:cs="仿宋"/>
          <w:sz w:val="24"/>
          <w:szCs w:val="24"/>
        </w:rPr>
        <w:t>小组将按上述修正错误的方法调整响应文件中的报价，并告知供应商，调整后的价格应对供应商具有约束力。如果供应商不接受修正后的价格，则其</w:t>
      </w:r>
      <w:r>
        <w:rPr>
          <w:rFonts w:hint="eastAsia" w:ascii="仿宋" w:hAnsi="仿宋" w:eastAsia="仿宋" w:cs="仿宋"/>
          <w:sz w:val="24"/>
          <w:szCs w:val="24"/>
        </w:rPr>
        <w:t>比选</w:t>
      </w:r>
      <w:r>
        <w:rPr>
          <w:rFonts w:ascii="仿宋" w:hAnsi="仿宋" w:eastAsia="仿宋" w:cs="仿宋"/>
          <w:sz w:val="24"/>
          <w:szCs w:val="24"/>
        </w:rPr>
        <w:t>活动将被拒绝。</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5.6 </w:t>
      </w:r>
      <w:r>
        <w:rPr>
          <w:rFonts w:hint="eastAsia" w:ascii="仿宋" w:hAnsi="仿宋" w:eastAsia="仿宋" w:cs="仿宋"/>
          <w:sz w:val="24"/>
          <w:szCs w:val="24"/>
        </w:rPr>
        <w:t>比选</w:t>
      </w:r>
      <w:r>
        <w:rPr>
          <w:rFonts w:ascii="仿宋" w:hAnsi="仿宋" w:eastAsia="仿宋" w:cs="仿宋"/>
          <w:sz w:val="24"/>
          <w:szCs w:val="24"/>
        </w:rPr>
        <w:t>小组将允许修正响应文件中不构成重大偏离的、微小的、非正规的、不一致的或不规则的地方，但这些修改不能影响任何供应商相应的名次排列。</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5.7 供应商在评审全过程中应保持通讯畅通，并安排专人与采购</w:t>
      </w:r>
      <w:r>
        <w:rPr>
          <w:rFonts w:hint="eastAsia" w:ascii="仿宋" w:hAnsi="仿宋" w:eastAsia="仿宋" w:cs="仿宋"/>
          <w:sz w:val="24"/>
          <w:szCs w:val="24"/>
        </w:rPr>
        <w:t>代理机构</w:t>
      </w:r>
      <w:r>
        <w:rPr>
          <w:rFonts w:ascii="仿宋" w:hAnsi="仿宋" w:eastAsia="仿宋" w:cs="仿宋"/>
          <w:sz w:val="24"/>
          <w:szCs w:val="24"/>
        </w:rPr>
        <w:t>及</w:t>
      </w:r>
      <w:r>
        <w:rPr>
          <w:rFonts w:hint="eastAsia" w:ascii="仿宋" w:hAnsi="仿宋" w:eastAsia="仿宋" w:cs="仿宋"/>
          <w:sz w:val="24"/>
          <w:szCs w:val="24"/>
        </w:rPr>
        <w:t>比选</w:t>
      </w:r>
      <w:r>
        <w:rPr>
          <w:rFonts w:ascii="仿宋" w:hAnsi="仿宋" w:eastAsia="仿宋" w:cs="仿宋"/>
          <w:sz w:val="24"/>
          <w:szCs w:val="24"/>
        </w:rPr>
        <w:t>小组联系。</w:t>
      </w:r>
    </w:p>
    <w:p>
      <w:pPr>
        <w:pStyle w:val="4"/>
        <w:spacing w:before="0" w:after="0" w:line="360" w:lineRule="auto"/>
        <w:rPr>
          <w:rFonts w:hint="eastAsia" w:ascii="仿宋" w:hAnsi="仿宋" w:eastAsia="仿宋"/>
          <w:sz w:val="24"/>
          <w:szCs w:val="24"/>
        </w:rPr>
      </w:pPr>
      <w:r>
        <w:rPr>
          <w:rFonts w:ascii="仿宋" w:hAnsi="仿宋" w:eastAsia="仿宋"/>
          <w:sz w:val="24"/>
          <w:szCs w:val="24"/>
        </w:rPr>
        <w:t>6.被认定为未实质性响应比选文件的响应文件的情形。</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 出现下列情形之一的，作无效响应处理。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 供应商在规定的时间内未成功</w:t>
      </w:r>
      <w:r>
        <w:rPr>
          <w:rFonts w:hint="eastAsia" w:ascii="仿宋" w:hAnsi="仿宋" w:eastAsia="仿宋" w:cs="仿宋"/>
          <w:sz w:val="24"/>
          <w:szCs w:val="24"/>
        </w:rPr>
        <w:t>提交</w:t>
      </w:r>
      <w:r>
        <w:rPr>
          <w:rFonts w:ascii="仿宋" w:hAnsi="仿宋" w:eastAsia="仿宋" w:cs="仿宋"/>
          <w:sz w:val="24"/>
          <w:szCs w:val="24"/>
        </w:rPr>
        <w:t>响应文件的。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6.1.2 未完整</w:t>
      </w:r>
      <w:r>
        <w:rPr>
          <w:rFonts w:hint="eastAsia" w:ascii="仿宋" w:hAnsi="仿宋" w:eastAsia="仿宋" w:cs="仿宋"/>
          <w:sz w:val="24"/>
          <w:szCs w:val="24"/>
        </w:rPr>
        <w:t>提交</w:t>
      </w:r>
      <w:r>
        <w:rPr>
          <w:rFonts w:ascii="仿宋" w:hAnsi="仿宋" w:eastAsia="仿宋" w:cs="仿宋"/>
          <w:sz w:val="24"/>
          <w:szCs w:val="24"/>
        </w:rPr>
        <w:t>响应文件文档的。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6.1.3 同一供应商提交两个（含两个）以上不同的响应报价的。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6.1.4 不具备比选文件中规定的资格要求的。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6.1.5 响应报价超过了采购预算或最高限价的。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6.1.6 未通过符合性检查的。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6.1.7 不符合法律、法规和比选文件中规定的其他实质性要求的。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6.1.8 供应商被“信用中国”网站（www.creditchina.gov.cn）列入失信被执行人或重大税收违法案件当事人名单或采购严重失信行为记录名单。或查询“信用中国”网站后发现供应商存在其他不符合</w:t>
      </w:r>
      <w:r>
        <w:rPr>
          <w:rFonts w:hint="eastAsia" w:ascii="仿宋" w:hAnsi="仿宋" w:eastAsia="仿宋" w:cs="仿宋"/>
          <w:sz w:val="24"/>
          <w:szCs w:val="24"/>
        </w:rPr>
        <w:t>资格</w:t>
      </w:r>
      <w:r>
        <w:rPr>
          <w:rFonts w:ascii="仿宋" w:hAnsi="仿宋" w:eastAsia="仿宋" w:cs="仿宋"/>
          <w:sz w:val="24"/>
          <w:szCs w:val="24"/>
        </w:rPr>
        <w:t>的信用记录。</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6.1.9 响应文件含有采购人不能接受的附加条件的。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6.1.10 </w:t>
      </w:r>
      <w:r>
        <w:rPr>
          <w:rFonts w:hint="eastAsia" w:ascii="仿宋" w:hAnsi="仿宋" w:eastAsia="仿宋" w:cs="仿宋"/>
          <w:sz w:val="24"/>
          <w:szCs w:val="24"/>
        </w:rPr>
        <w:t>比选</w:t>
      </w:r>
      <w:r>
        <w:rPr>
          <w:rFonts w:ascii="仿宋" w:hAnsi="仿宋" w:eastAsia="仿宋" w:cs="仿宋"/>
          <w:sz w:val="24"/>
          <w:szCs w:val="24"/>
        </w:rPr>
        <w:t>小组认为供应商的报价明显低于其他通过符合性审查供应商的报价，有可能影响产品质量或者不能诚信履约的，将要求其在合理的时间内提供说明，必要时提交相关证明材料；供应商不能证明其报价合理性的，</w:t>
      </w:r>
      <w:r>
        <w:rPr>
          <w:rFonts w:hint="eastAsia" w:ascii="仿宋" w:hAnsi="仿宋" w:eastAsia="仿宋" w:cs="仿宋"/>
          <w:sz w:val="24"/>
          <w:szCs w:val="24"/>
        </w:rPr>
        <w:t>比选</w:t>
      </w:r>
      <w:r>
        <w:rPr>
          <w:rFonts w:ascii="仿宋" w:hAnsi="仿宋" w:eastAsia="仿宋" w:cs="仿宋"/>
          <w:sz w:val="24"/>
          <w:szCs w:val="24"/>
        </w:rPr>
        <w:t>小组应当将其作为无效响应处理。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6.1.11 响应文件未按照采购文件要求加盖签章。</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6.1.12 不同的供应商响应文件</w:t>
      </w:r>
      <w:r>
        <w:rPr>
          <w:rFonts w:hint="eastAsia" w:ascii="仿宋" w:hAnsi="仿宋" w:eastAsia="仿宋" w:cs="仿宋"/>
          <w:sz w:val="24"/>
          <w:szCs w:val="24"/>
        </w:rPr>
        <w:t>制作雷同的</w:t>
      </w:r>
      <w:r>
        <w:rPr>
          <w:rFonts w:ascii="仿宋" w:hAnsi="仿宋" w:eastAsia="仿宋" w:cs="仿宋"/>
          <w:sz w:val="24"/>
          <w:szCs w:val="24"/>
        </w:rPr>
        <w:t>。</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6.1.1</w:t>
      </w:r>
      <w:r>
        <w:rPr>
          <w:rFonts w:ascii="仿宋" w:hAnsi="仿宋" w:eastAsia="仿宋" w:cs="仿宋"/>
          <w:sz w:val="24"/>
          <w:szCs w:val="24"/>
        </w:rPr>
        <w:t xml:space="preserve">3 </w:t>
      </w:r>
      <w:r>
        <w:rPr>
          <w:rFonts w:hint="eastAsia" w:ascii="仿宋" w:hAnsi="仿宋" w:eastAsia="仿宋" w:cs="仿宋"/>
          <w:sz w:val="24"/>
          <w:szCs w:val="24"/>
        </w:rPr>
        <w:t>供应商的商务技术部分得分相差悬殊，评标委员会认为得分畸低者没有实质性响应的。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6.1.14 其他法律、法规及本比选文件规定的属无效响应的情形。</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6.2 出现下列情形之一的，</w:t>
      </w:r>
      <w:r>
        <w:rPr>
          <w:rFonts w:hint="eastAsia" w:ascii="仿宋" w:hAnsi="仿宋" w:eastAsia="仿宋" w:cs="仿宋"/>
          <w:sz w:val="24"/>
          <w:szCs w:val="24"/>
        </w:rPr>
        <w:t>比选</w:t>
      </w:r>
      <w:r>
        <w:rPr>
          <w:rFonts w:ascii="仿宋" w:hAnsi="仿宋" w:eastAsia="仿宋" w:cs="仿宋"/>
          <w:sz w:val="24"/>
          <w:szCs w:val="24"/>
        </w:rPr>
        <w:t>失败。</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6.2.1 符合条件的供应商或者对比选文件作实质响应的供应商不足3家的（市场竞争不充分的科研项目，以及需要扶持的科技成果转化项目可以是2家）；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6.2.2 出现影响采购公正的违法违规行为的；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6.2.3 因重大变故，采购任务取消的。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 xml:space="preserve">6.2.4 </w:t>
      </w:r>
      <w:r>
        <w:rPr>
          <w:rFonts w:hint="eastAsia" w:ascii="仿宋" w:hAnsi="仿宋" w:eastAsia="仿宋" w:cs="仿宋"/>
          <w:sz w:val="24"/>
          <w:szCs w:val="24"/>
        </w:rPr>
        <w:t>比选</w:t>
      </w:r>
      <w:r>
        <w:rPr>
          <w:rFonts w:ascii="仿宋" w:hAnsi="仿宋" w:eastAsia="仿宋" w:cs="仿宋"/>
          <w:sz w:val="24"/>
          <w:szCs w:val="24"/>
        </w:rPr>
        <w:t>小组认定比选文件存在歧义、重大缺陷导致评审工作无法进行。</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6.3 响应文件提交截止时间结束后参加</w:t>
      </w:r>
      <w:r>
        <w:rPr>
          <w:rFonts w:hint="eastAsia" w:ascii="仿宋" w:hAnsi="仿宋" w:eastAsia="仿宋" w:cs="仿宋"/>
          <w:sz w:val="24"/>
          <w:szCs w:val="24"/>
        </w:rPr>
        <w:t>比选</w:t>
      </w:r>
      <w:r>
        <w:rPr>
          <w:rFonts w:ascii="仿宋" w:hAnsi="仿宋" w:eastAsia="仿宋" w:cs="仿宋"/>
          <w:sz w:val="24"/>
          <w:szCs w:val="24"/>
        </w:rPr>
        <w:t>的供应商不足三家的处理：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6.3.1 如出现响应文件提交截止时间结束后参加</w:t>
      </w:r>
      <w:r>
        <w:rPr>
          <w:rFonts w:hint="eastAsia" w:ascii="仿宋" w:hAnsi="仿宋" w:eastAsia="仿宋" w:cs="仿宋"/>
          <w:sz w:val="24"/>
          <w:szCs w:val="24"/>
        </w:rPr>
        <w:t>比选</w:t>
      </w:r>
      <w:r>
        <w:rPr>
          <w:rFonts w:ascii="仿宋" w:hAnsi="仿宋" w:eastAsia="仿宋" w:cs="仿宋"/>
          <w:sz w:val="24"/>
          <w:szCs w:val="24"/>
        </w:rPr>
        <w:t>的供应商或者在评审期间对比选文件做出实质响应的供应商不足三家情况，按采购相关规定执行。</w:t>
      </w:r>
    </w:p>
    <w:bookmarkEnd w:id="83"/>
    <w:bookmarkEnd w:id="84"/>
    <w:bookmarkEnd w:id="85"/>
    <w:p>
      <w:pPr>
        <w:pStyle w:val="3"/>
        <w:spacing w:before="0" w:after="0" w:line="360" w:lineRule="auto"/>
        <w:rPr>
          <w:rFonts w:hint="eastAsia" w:ascii="仿宋" w:hAnsi="仿宋" w:eastAsia="仿宋"/>
          <w:sz w:val="24"/>
          <w:szCs w:val="24"/>
        </w:rPr>
      </w:pPr>
      <w:bookmarkStart w:id="86" w:name="_Toc120614219"/>
      <w:r>
        <w:rPr>
          <w:rFonts w:ascii="仿宋" w:hAnsi="仿宋" w:eastAsia="仿宋"/>
          <w:sz w:val="24"/>
          <w:szCs w:val="24"/>
        </w:rPr>
        <w:t>（六）</w:t>
      </w:r>
      <w:bookmarkEnd w:id="86"/>
      <w:r>
        <w:rPr>
          <w:rFonts w:ascii="仿宋" w:hAnsi="仿宋" w:eastAsia="仿宋"/>
          <w:sz w:val="24"/>
          <w:szCs w:val="24"/>
        </w:rPr>
        <w:t>成交</w:t>
      </w:r>
    </w:p>
    <w:p>
      <w:pPr>
        <w:pStyle w:val="4"/>
        <w:spacing w:before="0" w:after="0" w:line="360" w:lineRule="auto"/>
        <w:rPr>
          <w:rFonts w:hint="eastAsia" w:ascii="仿宋" w:hAnsi="仿宋" w:eastAsia="仿宋"/>
          <w:sz w:val="24"/>
          <w:szCs w:val="24"/>
        </w:rPr>
      </w:pPr>
      <w:bookmarkStart w:id="87" w:name="_Toc16938554"/>
      <w:bookmarkStart w:id="88" w:name="_Toc20823310"/>
      <w:r>
        <w:rPr>
          <w:rFonts w:ascii="仿宋" w:hAnsi="仿宋" w:eastAsia="仿宋"/>
          <w:sz w:val="24"/>
          <w:szCs w:val="24"/>
        </w:rPr>
        <w:t>1.确定</w:t>
      </w:r>
      <w:bookmarkEnd w:id="87"/>
      <w:bookmarkEnd w:id="88"/>
      <w:r>
        <w:rPr>
          <w:rFonts w:ascii="仿宋" w:hAnsi="仿宋" w:eastAsia="仿宋"/>
          <w:sz w:val="24"/>
          <w:szCs w:val="24"/>
        </w:rPr>
        <w:t>成交单位</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1.1 成交候选供应商的选取原则和数量见比选文件第四部分规定。</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1.2 采购人授权</w:t>
      </w:r>
      <w:r>
        <w:rPr>
          <w:rFonts w:hint="eastAsia" w:ascii="仿宋" w:hAnsi="仿宋" w:eastAsia="仿宋" w:cs="仿宋"/>
          <w:sz w:val="24"/>
          <w:szCs w:val="24"/>
        </w:rPr>
        <w:t>比选</w:t>
      </w:r>
      <w:r>
        <w:rPr>
          <w:rFonts w:ascii="仿宋" w:hAnsi="仿宋" w:eastAsia="仿宋" w:cs="仿宋"/>
          <w:sz w:val="24"/>
          <w:szCs w:val="24"/>
        </w:rPr>
        <w:t>小组在成交候选供应商中直接确定成交供应商。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1.3 采购</w:t>
      </w:r>
      <w:r>
        <w:rPr>
          <w:rFonts w:hint="eastAsia" w:ascii="仿宋" w:hAnsi="仿宋" w:eastAsia="仿宋" w:cs="仿宋"/>
          <w:sz w:val="24"/>
          <w:szCs w:val="24"/>
        </w:rPr>
        <w:t>代理机构</w:t>
      </w:r>
      <w:r>
        <w:rPr>
          <w:rFonts w:ascii="仿宋" w:hAnsi="仿宋" w:eastAsia="仿宋" w:cs="仿宋"/>
          <w:sz w:val="24"/>
          <w:szCs w:val="24"/>
        </w:rPr>
        <w:t>将在</w:t>
      </w:r>
      <w:r>
        <w:rPr>
          <w:rFonts w:hint="eastAsia" w:ascii="仿宋" w:hAnsi="仿宋" w:eastAsia="仿宋" w:cs="仿宋"/>
          <w:sz w:val="24"/>
          <w:szCs w:val="24"/>
        </w:rPr>
        <w:t>指定媒体上</w:t>
      </w:r>
      <w:r>
        <w:rPr>
          <w:rFonts w:ascii="仿宋" w:hAnsi="仿宋" w:eastAsia="仿宋" w:cs="仿宋"/>
          <w:sz w:val="24"/>
          <w:szCs w:val="24"/>
        </w:rPr>
        <w:t>发布成交结果公告，公告期限为1个工作日。</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4</w:t>
      </w:r>
      <w:r>
        <w:rPr>
          <w:rFonts w:ascii="仿宋" w:hAnsi="仿宋" w:eastAsia="仿宋" w:cs="仿宋"/>
          <w:sz w:val="24"/>
          <w:szCs w:val="24"/>
        </w:rPr>
        <w:t xml:space="preserve"> 若有充分证据证明，成交供应商出现下列情况之一的，一经查实，将被取消成交资格：</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1.4.1 提供虚假材料谋取成交的。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1.4.2 向采购人、采购</w:t>
      </w:r>
      <w:r>
        <w:rPr>
          <w:rFonts w:hint="eastAsia" w:ascii="仿宋" w:hAnsi="仿宋" w:eastAsia="仿宋" w:cs="仿宋"/>
          <w:sz w:val="24"/>
          <w:szCs w:val="24"/>
        </w:rPr>
        <w:t>代理机构</w:t>
      </w:r>
      <w:r>
        <w:rPr>
          <w:rFonts w:ascii="仿宋" w:hAnsi="仿宋" w:eastAsia="仿宋" w:cs="仿宋"/>
          <w:sz w:val="24"/>
          <w:szCs w:val="24"/>
        </w:rPr>
        <w:t>行贿或者评审专家提供其他不正当利益的。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1.4.3 恶意竞争，最终总报价明显低于其自身合理成本且又无法提供证明的。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1.4.4 属于本文件规定的无效条件，但在评审过程中又未被</w:t>
      </w:r>
      <w:r>
        <w:rPr>
          <w:rFonts w:hint="eastAsia" w:ascii="仿宋" w:hAnsi="仿宋" w:eastAsia="仿宋" w:cs="仿宋"/>
          <w:sz w:val="24"/>
          <w:szCs w:val="24"/>
        </w:rPr>
        <w:t>比选</w:t>
      </w:r>
      <w:r>
        <w:rPr>
          <w:rFonts w:ascii="仿宋" w:hAnsi="仿宋" w:eastAsia="仿宋" w:cs="仿宋"/>
          <w:sz w:val="24"/>
          <w:szCs w:val="24"/>
        </w:rPr>
        <w:t>小组发现的。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1.4.5 与采购人或者其他供应商恶意串通的。</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1.4.6 采取不正当手段诋毁、排挤其他供应商的。</w:t>
      </w:r>
    </w:p>
    <w:p>
      <w:pPr>
        <w:widowControl/>
        <w:shd w:val="clear" w:color="auto" w:fill="FFFFFF"/>
        <w:spacing w:line="360" w:lineRule="auto"/>
        <w:ind w:firstLine="480" w:firstLineChars="200"/>
        <w:jc w:val="left"/>
        <w:rPr>
          <w:rFonts w:hint="eastAsia" w:ascii="仿宋" w:hAnsi="仿宋" w:eastAsia="仿宋" w:cs="仿宋"/>
          <w:sz w:val="24"/>
          <w:szCs w:val="24"/>
        </w:rPr>
      </w:pPr>
      <w:bookmarkStart w:id="89" w:name="_Toc200451960"/>
      <w:r>
        <w:rPr>
          <w:rFonts w:ascii="仿宋" w:hAnsi="仿宋" w:eastAsia="仿宋" w:cs="仿宋"/>
          <w:sz w:val="24"/>
          <w:szCs w:val="24"/>
        </w:rPr>
        <w:t>1.5 有下列情形之一的，视为供应商串通参与</w:t>
      </w:r>
      <w:r>
        <w:rPr>
          <w:rFonts w:hint="eastAsia" w:ascii="仿宋" w:hAnsi="仿宋" w:eastAsia="仿宋" w:cs="仿宋"/>
          <w:sz w:val="24"/>
          <w:szCs w:val="24"/>
        </w:rPr>
        <w:t>比选</w:t>
      </w:r>
      <w:r>
        <w:rPr>
          <w:rFonts w:ascii="仿宋" w:hAnsi="仿宋" w:eastAsia="仿宋" w:cs="仿宋"/>
          <w:sz w:val="24"/>
          <w:szCs w:val="24"/>
        </w:rPr>
        <w:t>，响应无效：</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1.5.1 不同供应商的响应文件由同一单位或者个人编制；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1.5.2 不同供应商委托同一单位或者个人办理</w:t>
      </w:r>
      <w:r>
        <w:rPr>
          <w:rFonts w:hint="eastAsia" w:ascii="仿宋" w:hAnsi="仿宋" w:eastAsia="仿宋" w:cs="仿宋"/>
          <w:sz w:val="24"/>
          <w:szCs w:val="24"/>
        </w:rPr>
        <w:t>比选</w:t>
      </w:r>
      <w:r>
        <w:rPr>
          <w:rFonts w:ascii="仿宋" w:hAnsi="仿宋" w:eastAsia="仿宋" w:cs="仿宋"/>
          <w:sz w:val="24"/>
          <w:szCs w:val="24"/>
        </w:rPr>
        <w:t>事宜；</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1.5.3 不同供应商的响应文件载明的项目管理成员或者联系人员为同一人；</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1.5.4 不同供应商的响应文件异常一致或者响应报价呈规律性差异。</w:t>
      </w:r>
    </w:p>
    <w:p>
      <w:pPr>
        <w:pStyle w:val="4"/>
        <w:spacing w:before="0" w:after="0" w:line="360" w:lineRule="auto"/>
        <w:rPr>
          <w:rFonts w:hint="eastAsia" w:ascii="仿宋" w:hAnsi="仿宋" w:eastAsia="仿宋"/>
          <w:sz w:val="24"/>
          <w:szCs w:val="24"/>
        </w:rPr>
      </w:pPr>
      <w:r>
        <w:rPr>
          <w:rFonts w:ascii="仿宋" w:hAnsi="仿宋" w:eastAsia="仿宋"/>
          <w:sz w:val="24"/>
          <w:szCs w:val="24"/>
        </w:rPr>
        <w:t>2.质疑处理</w:t>
      </w:r>
      <w:bookmarkEnd w:id="89"/>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 提出质疑的供应商应当是参与所质疑项目采购活动的供应商。潜在供应商依法获取其可质疑的比选文件的，可以对比选文件提出质疑。</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供应商认为比选文件、采购过程和采购结果使自己的权益受到损害的，可以在知道或应知其权益受到损害之日起七个工作日内，以书面形式向采购</w:t>
      </w:r>
      <w:r>
        <w:rPr>
          <w:rFonts w:hint="eastAsia" w:ascii="仿宋" w:hAnsi="仿宋" w:eastAsia="仿宋" w:cs="仿宋"/>
          <w:sz w:val="24"/>
          <w:szCs w:val="24"/>
        </w:rPr>
        <w:t>代理机构</w:t>
      </w:r>
      <w:r>
        <w:rPr>
          <w:rFonts w:ascii="仿宋" w:hAnsi="仿宋" w:eastAsia="仿宋" w:cs="仿宋"/>
          <w:sz w:val="24"/>
          <w:szCs w:val="24"/>
        </w:rPr>
        <w:t>或采购人提出质疑。上述应知其权益受到损害之日，是指：</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2.2.1 对可以质疑的比选文件提出质疑的，为收到比选文件之日或者比选文件公告期限届满之日；</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2.2.2 对采购过程提出质疑的，为各采购程序环节结束之日；</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2.2.3 对成交结果提出质疑的，为成交结果公告期限届满之日。</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供应商应当在法定质疑期内一次性提出针对同一采购程序环节的质疑。</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2.3 质疑函必须按照本比选文件中《质疑函范本》要求的格式和内容进行填写。供应商如组成联合体参加</w:t>
      </w:r>
      <w:r>
        <w:rPr>
          <w:rFonts w:hint="eastAsia" w:ascii="仿宋" w:hAnsi="仿宋" w:eastAsia="仿宋" w:cs="仿宋"/>
          <w:sz w:val="24"/>
          <w:szCs w:val="24"/>
        </w:rPr>
        <w:t>比选</w:t>
      </w:r>
      <w:r>
        <w:rPr>
          <w:rFonts w:ascii="仿宋" w:hAnsi="仿宋" w:eastAsia="仿宋" w:cs="仿宋"/>
          <w:sz w:val="24"/>
          <w:szCs w:val="24"/>
        </w:rPr>
        <w:t>，则《质疑函范本》中要求签字、盖章、加盖公章之处，联合体各方均须按要求签字、盖章、加盖公章。</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2.4 对采购方式、比选文件中项目需求、供应商资格条件、评审方法和评审标准、资格审查结果等应当由采购人答复的质疑，请向采购人提出，由采购人负责答复。供应商对其他事项的质疑，请向采购</w:t>
      </w:r>
      <w:r>
        <w:rPr>
          <w:rFonts w:hint="eastAsia" w:ascii="仿宋" w:hAnsi="仿宋" w:eastAsia="仿宋" w:cs="仿宋"/>
          <w:sz w:val="24"/>
          <w:szCs w:val="24"/>
        </w:rPr>
        <w:t>代理机构</w:t>
      </w:r>
      <w:r>
        <w:rPr>
          <w:rFonts w:ascii="仿宋" w:hAnsi="仿宋" w:eastAsia="仿宋" w:cs="仿宋"/>
          <w:sz w:val="24"/>
          <w:szCs w:val="24"/>
        </w:rPr>
        <w:t>提出，由采购</w:t>
      </w:r>
      <w:r>
        <w:rPr>
          <w:rFonts w:hint="eastAsia" w:ascii="仿宋" w:hAnsi="仿宋" w:eastAsia="仿宋" w:cs="仿宋"/>
          <w:sz w:val="24"/>
          <w:szCs w:val="24"/>
        </w:rPr>
        <w:t>代理机构</w:t>
      </w:r>
      <w:r>
        <w:rPr>
          <w:rFonts w:ascii="仿宋" w:hAnsi="仿宋" w:eastAsia="仿宋" w:cs="仿宋"/>
          <w:sz w:val="24"/>
          <w:szCs w:val="24"/>
        </w:rPr>
        <w:t>负责答复。</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采购人质疑接收人及联系方式，见比选文件第一部分。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 以下情形的质疑不予受理</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2.5.1 内容不符合</w:t>
      </w:r>
      <w:r>
        <w:rPr>
          <w:rFonts w:hint="eastAsia" w:ascii="仿宋" w:hAnsi="仿宋" w:eastAsia="仿宋" w:cs="仿宋"/>
          <w:sz w:val="24"/>
          <w:szCs w:val="24"/>
        </w:rPr>
        <w:t>附件质疑函范本</w:t>
      </w:r>
      <w:r>
        <w:rPr>
          <w:rFonts w:ascii="仿宋" w:hAnsi="仿宋" w:eastAsia="仿宋" w:cs="仿宋"/>
          <w:sz w:val="24"/>
          <w:szCs w:val="24"/>
        </w:rPr>
        <w:t>的质疑。</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2.5.2 超出采购法定期限的质疑。</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2.5.3 未参加</w:t>
      </w:r>
      <w:r>
        <w:rPr>
          <w:rFonts w:hint="eastAsia" w:ascii="仿宋" w:hAnsi="仿宋" w:eastAsia="仿宋" w:cs="仿宋"/>
          <w:sz w:val="24"/>
          <w:szCs w:val="24"/>
        </w:rPr>
        <w:t>比选</w:t>
      </w:r>
      <w:r>
        <w:rPr>
          <w:rFonts w:ascii="仿宋" w:hAnsi="仿宋" w:eastAsia="仿宋" w:cs="仿宋"/>
          <w:sz w:val="24"/>
          <w:szCs w:val="24"/>
        </w:rPr>
        <w:t>活动的供应商或在</w:t>
      </w:r>
      <w:r>
        <w:rPr>
          <w:rFonts w:hint="eastAsia" w:ascii="仿宋" w:hAnsi="仿宋" w:eastAsia="仿宋" w:cs="仿宋"/>
          <w:sz w:val="24"/>
          <w:szCs w:val="24"/>
        </w:rPr>
        <w:t>比选</w:t>
      </w:r>
      <w:r>
        <w:rPr>
          <w:rFonts w:ascii="仿宋" w:hAnsi="仿宋" w:eastAsia="仿宋" w:cs="仿宋"/>
          <w:sz w:val="24"/>
          <w:szCs w:val="24"/>
        </w:rPr>
        <w:t>活动中自身权益未受到损害的供应商所提出的质疑。</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2.5.4 供应商组成联合体参加</w:t>
      </w:r>
      <w:r>
        <w:rPr>
          <w:rFonts w:hint="eastAsia" w:ascii="仿宋" w:hAnsi="仿宋" w:eastAsia="仿宋" w:cs="仿宋"/>
          <w:sz w:val="24"/>
          <w:szCs w:val="24"/>
        </w:rPr>
        <w:t>比选</w:t>
      </w:r>
      <w:r>
        <w:rPr>
          <w:rFonts w:ascii="仿宋" w:hAnsi="仿宋" w:eastAsia="仿宋" w:cs="仿宋"/>
          <w:sz w:val="24"/>
          <w:szCs w:val="24"/>
        </w:rPr>
        <w:t>，联合体中任何一方或多方未按要求签字、盖章、加盖公章的质疑。</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2.6 供应商提出书面质疑必须有理、有据，不得捏造事实、提供虚假材料进行恶意质疑。否则，一经查实，采购</w:t>
      </w:r>
      <w:r>
        <w:rPr>
          <w:rFonts w:hint="eastAsia" w:ascii="仿宋" w:hAnsi="仿宋" w:eastAsia="仿宋" w:cs="仿宋"/>
          <w:sz w:val="24"/>
          <w:szCs w:val="24"/>
        </w:rPr>
        <w:t>代理机构</w:t>
      </w:r>
      <w:r>
        <w:rPr>
          <w:rFonts w:ascii="仿宋" w:hAnsi="仿宋" w:eastAsia="仿宋" w:cs="仿宋"/>
          <w:sz w:val="24"/>
          <w:szCs w:val="24"/>
        </w:rPr>
        <w:t>有权依据采购的有关规定，报请采购监管部门对该供应商进行相应的行政处罚和记录该供应商的失信信息。</w:t>
      </w:r>
    </w:p>
    <w:p>
      <w:pPr>
        <w:pStyle w:val="4"/>
        <w:spacing w:before="0" w:after="0" w:line="360" w:lineRule="auto"/>
        <w:rPr>
          <w:rFonts w:hint="eastAsia" w:ascii="仿宋" w:hAnsi="仿宋" w:eastAsia="仿宋"/>
          <w:sz w:val="24"/>
          <w:szCs w:val="24"/>
        </w:rPr>
      </w:pPr>
      <w:r>
        <w:rPr>
          <w:rFonts w:ascii="仿宋" w:hAnsi="仿宋" w:eastAsia="仿宋"/>
          <w:sz w:val="24"/>
          <w:szCs w:val="24"/>
        </w:rPr>
        <w:t>3．成交通知书</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3.l 成交结果确定后，采购</w:t>
      </w:r>
      <w:r>
        <w:rPr>
          <w:rFonts w:hint="eastAsia" w:ascii="仿宋" w:hAnsi="仿宋" w:eastAsia="仿宋" w:cs="仿宋"/>
          <w:sz w:val="24"/>
          <w:szCs w:val="24"/>
        </w:rPr>
        <w:t>代理机构</w:t>
      </w:r>
      <w:r>
        <w:rPr>
          <w:rFonts w:ascii="仿宋" w:hAnsi="仿宋" w:eastAsia="仿宋" w:cs="仿宋"/>
          <w:sz w:val="24"/>
          <w:szCs w:val="24"/>
        </w:rPr>
        <w:t>将向成交供应商发出成交通知书。</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3.2 成交通知书将是合同的一个组成部分。对采购人和成交供应商均具有法律效力。成交通知书发出后，采购人改变成交结果的，或者成交供应商放弃</w:t>
      </w:r>
      <w:r>
        <w:rPr>
          <w:rFonts w:hint="eastAsia" w:ascii="仿宋" w:hAnsi="仿宋" w:eastAsia="仿宋" w:cs="仿宋"/>
          <w:sz w:val="24"/>
          <w:szCs w:val="24"/>
        </w:rPr>
        <w:t>比选</w:t>
      </w:r>
      <w:r>
        <w:rPr>
          <w:rFonts w:ascii="仿宋" w:hAnsi="仿宋" w:eastAsia="仿宋" w:cs="仿宋"/>
          <w:sz w:val="24"/>
          <w:szCs w:val="24"/>
        </w:rPr>
        <w:t>项目的，应当依法承担法律责任。</w:t>
      </w:r>
    </w:p>
    <w:p>
      <w:pPr>
        <w:pStyle w:val="3"/>
        <w:spacing w:before="0" w:after="0" w:line="360" w:lineRule="auto"/>
        <w:rPr>
          <w:rFonts w:hint="eastAsia" w:ascii="仿宋" w:hAnsi="仿宋" w:eastAsia="仿宋"/>
          <w:sz w:val="24"/>
          <w:szCs w:val="24"/>
        </w:rPr>
      </w:pPr>
      <w:bookmarkStart w:id="90" w:name="_Toc120614220"/>
      <w:bookmarkStart w:id="91" w:name="_Toc513029236"/>
      <w:bookmarkStart w:id="92" w:name="_Toc20823308"/>
      <w:bookmarkStart w:id="93" w:name="_Toc16938552"/>
      <w:r>
        <w:rPr>
          <w:rFonts w:ascii="仿宋" w:hAnsi="仿宋" w:eastAsia="仿宋"/>
          <w:sz w:val="24"/>
          <w:szCs w:val="24"/>
        </w:rPr>
        <w:t>（七）授予合同</w:t>
      </w:r>
      <w:bookmarkEnd w:id="90"/>
    </w:p>
    <w:bookmarkEnd w:id="91"/>
    <w:bookmarkEnd w:id="92"/>
    <w:bookmarkEnd w:id="93"/>
    <w:p>
      <w:pPr>
        <w:pStyle w:val="4"/>
        <w:spacing w:before="0" w:after="0" w:line="360" w:lineRule="auto"/>
        <w:rPr>
          <w:rFonts w:hint="eastAsia" w:ascii="仿宋" w:hAnsi="仿宋" w:eastAsia="仿宋"/>
          <w:sz w:val="24"/>
          <w:szCs w:val="24"/>
        </w:rPr>
      </w:pPr>
      <w:r>
        <w:rPr>
          <w:rFonts w:ascii="仿宋" w:hAnsi="仿宋" w:eastAsia="仿宋"/>
          <w:sz w:val="24"/>
          <w:szCs w:val="24"/>
        </w:rPr>
        <w:t>1.签订合同</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1.l 成交供应商应当在成交通知书发出之日起三十日内，按照比选文件确定的事项与采购人签订采购合同。</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1.2 比选文件、成交供应商的响应文件及</w:t>
      </w:r>
      <w:r>
        <w:rPr>
          <w:rFonts w:hint="eastAsia" w:ascii="仿宋" w:hAnsi="仿宋" w:eastAsia="仿宋" w:cs="仿宋"/>
          <w:sz w:val="24"/>
          <w:szCs w:val="24"/>
        </w:rPr>
        <w:t>比选</w:t>
      </w:r>
      <w:r>
        <w:rPr>
          <w:rFonts w:ascii="仿宋" w:hAnsi="仿宋" w:eastAsia="仿宋" w:cs="仿宋"/>
          <w:sz w:val="24"/>
          <w:szCs w:val="24"/>
        </w:rPr>
        <w:t>过程中有关澄清、承诺文件均应作为合同附件。</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1.3 签订合同后，成交供应商不得将货物及其他相关服务进行转包。未经采购人同意，成交供应商也不得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承担相应赔偿责任。</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 xml:space="preserve">.4 </w:t>
      </w:r>
      <w:r>
        <w:rPr>
          <w:rFonts w:hint="eastAsia" w:ascii="仿宋" w:hAnsi="仿宋" w:eastAsia="仿宋" w:cs="仿宋"/>
          <w:sz w:val="24"/>
          <w:szCs w:val="24"/>
        </w:rPr>
        <w:t>履约保证金</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1.4.1履约保证金为项目成交金额的10%，成交供应商在签订合同之前缴纳履约保证金，签订合同时须提供履约保证金缴纳凭证，可以以支票、汇票、本票、保函等非现金形式缴纳或提交。根据优化营商环境相关文件精神，对采购信用档案中无不良记录的中小企业可以申请免收履约保证金。</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1.4.2成交供应商全部履约合同义务，经采购人验收合格无质量、进度等问题的，采购人在验收合格后一次性退还履约保证金。</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1.4.3发生以下情况的，履约保证金不予退还或部分退还：</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（1）签订合同后，成交供应商不履行合同义务的，采购人有权全额扣除履约保证金，全额不予退还，同时采购人亦有权终止合同，成交供应商还须承担相应的法律赔偿责任。</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（2）成交供应商在履约过程中发生违约行为，给采购人造成损失的，采购人有权在成交供应商缴纳的履约保证金中予以扣款，以弥补采购人经济损失，不足的部分成交供应商另外补齐。</w:t>
      </w:r>
    </w:p>
    <w:p>
      <w:pPr>
        <w:pStyle w:val="4"/>
        <w:spacing w:before="0" w:after="0" w:line="360" w:lineRule="auto"/>
        <w:rPr>
          <w:rFonts w:hint="eastAsia" w:ascii="仿宋" w:hAnsi="仿宋" w:eastAsia="仿宋"/>
          <w:sz w:val="24"/>
          <w:szCs w:val="24"/>
        </w:rPr>
      </w:pPr>
      <w:r>
        <w:rPr>
          <w:rFonts w:ascii="仿宋" w:hAnsi="仿宋" w:eastAsia="仿宋"/>
          <w:sz w:val="24"/>
          <w:szCs w:val="24"/>
        </w:rPr>
        <w:t>2.货物和服务的追加、减少和添购。</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2.1采购合同履行中，采购人需追加与合同标的相同的货物和服务的，在不改变合同其他条款的前提下，可以与成交供应商协商签订补充合同，但所有补充合同的采购金额不超过原合同金额10%。</w:t>
      </w:r>
    </w:p>
    <w:p>
      <w:pPr>
        <w:widowControl/>
        <w:shd w:val="clear" w:color="auto" w:fill="FFFFFF"/>
        <w:spacing w:line="360" w:lineRule="auto"/>
        <w:ind w:firstLine="480" w:firstLineChars="200"/>
        <w:jc w:val="left"/>
        <w:rPr>
          <w:rFonts w:hint="eastAsia" w:ascii="仿宋" w:hAnsi="仿宋" w:eastAsia="仿宋" w:cs="仿宋"/>
          <w:sz w:val="24"/>
          <w:szCs w:val="24"/>
        </w:rPr>
      </w:pPr>
      <w:r>
        <w:rPr>
          <w:rFonts w:ascii="仿宋" w:hAnsi="仿宋" w:eastAsia="仿宋" w:cs="仿宋"/>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pPr>
        <w:widowControl/>
        <w:jc w:val="left"/>
        <w:rPr>
          <w:rFonts w:hint="eastAsia" w:ascii="仿宋" w:hAnsi="仿宋" w:eastAsia="仿宋"/>
          <w:sz w:val="28"/>
          <w:szCs w:val="28"/>
        </w:rPr>
      </w:pPr>
      <w:r>
        <w:rPr>
          <w:rFonts w:ascii="仿宋" w:hAnsi="仿宋" w:eastAsia="仿宋"/>
          <w:sz w:val="28"/>
          <w:szCs w:val="28"/>
        </w:rPr>
        <w:br w:type="page"/>
      </w:r>
    </w:p>
    <w:p>
      <w:pPr>
        <w:pStyle w:val="2"/>
        <w:spacing w:before="159" w:beforeLines="50" w:after="159" w:afterLines="50" w:line="360" w:lineRule="auto"/>
        <w:jc w:val="center"/>
        <w:rPr>
          <w:rFonts w:hint="eastAsia" w:ascii="仿宋" w:hAnsi="仿宋" w:eastAsia="仿宋"/>
          <w:sz w:val="32"/>
          <w:szCs w:val="32"/>
        </w:rPr>
      </w:pPr>
      <w:r>
        <w:rPr>
          <w:rFonts w:hint="eastAsia" w:ascii="仿宋" w:hAnsi="仿宋" w:eastAsia="仿宋"/>
          <w:sz w:val="32"/>
          <w:szCs w:val="32"/>
        </w:rPr>
        <w:t>第三部分 项目需求</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供应商不能简单照搬照抄比选文件项目需求说明中的技术、商务要求，必须作实事求是的响应。如供应商提供的货物和服务同采购人提出的项目需求说明中的技术、商务要求不同的，必须在《商务部分正负偏离表》和《技术部分正负偏离表》上明示。</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一、有关要求说明（服务类通用说明）</w:t>
      </w:r>
    </w:p>
    <w:p>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二、项目内容</w:t>
      </w:r>
    </w:p>
    <w:p>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为贯彻落实国家《关于开展全民健康素养提升三年行动（2024－2027年）的通知》要求，动员社会力量支持参与健康教育工作，加快提升我市居民健康素养水平，我们拟在全市开展健康素养提升科普宣传活动。</w:t>
      </w:r>
    </w:p>
    <w:p>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以宣传推广《中国公民健康素养--基本知识与技能》为主线，推动健康教育进社区，引导公众自觉践行文明健康绿色环保的生活方式，教育引导居民个人真正成为自己健康的“第一责任人”，进一步提升全市居民健康素养水平。</w:t>
      </w:r>
    </w:p>
    <w:p>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活动时间：</w:t>
      </w:r>
      <w:r>
        <w:rPr>
          <w:rFonts w:ascii="仿宋" w:hAnsi="仿宋" w:eastAsia="仿宋" w:cs="宋体"/>
          <w:color w:val="000000"/>
          <w:sz w:val="24"/>
          <w:szCs w:val="24"/>
        </w:rPr>
        <w:t>202</w:t>
      </w:r>
      <w:r>
        <w:rPr>
          <w:rFonts w:hint="eastAsia" w:ascii="仿宋" w:hAnsi="仿宋" w:eastAsia="仿宋" w:cs="宋体"/>
          <w:color w:val="000000"/>
          <w:sz w:val="24"/>
          <w:szCs w:val="24"/>
        </w:rPr>
        <w:t>4</w:t>
      </w:r>
      <w:r>
        <w:rPr>
          <w:rFonts w:ascii="仿宋" w:hAnsi="仿宋" w:eastAsia="仿宋" w:cs="宋体"/>
          <w:color w:val="000000"/>
          <w:sz w:val="24"/>
          <w:szCs w:val="24"/>
        </w:rPr>
        <w:t>年</w:t>
      </w:r>
      <w:r>
        <w:rPr>
          <w:rFonts w:hint="eastAsia" w:ascii="仿宋" w:hAnsi="仿宋" w:eastAsia="仿宋" w:cs="宋体"/>
          <w:color w:val="000000"/>
          <w:sz w:val="24"/>
          <w:szCs w:val="24"/>
        </w:rPr>
        <w:t>12</w:t>
      </w:r>
      <w:r>
        <w:rPr>
          <w:rFonts w:ascii="仿宋" w:hAnsi="仿宋" w:eastAsia="仿宋" w:cs="宋体"/>
          <w:color w:val="000000"/>
          <w:sz w:val="24"/>
          <w:szCs w:val="24"/>
        </w:rPr>
        <w:t>月</w:t>
      </w:r>
      <w:r>
        <w:rPr>
          <w:rFonts w:hint="eastAsia" w:ascii="仿宋" w:hAnsi="仿宋" w:eastAsia="仿宋" w:cs="宋体"/>
          <w:color w:val="000000"/>
          <w:sz w:val="24"/>
          <w:szCs w:val="24"/>
        </w:rPr>
        <w:t>至2025年11月</w:t>
      </w:r>
      <w:r>
        <w:rPr>
          <w:rFonts w:hint="eastAsia" w:ascii="仿宋" w:hAnsi="仿宋" w:eastAsia="仿宋" w:cs="仿宋"/>
          <w:bCs/>
          <w:sz w:val="24"/>
          <w:szCs w:val="24"/>
        </w:rPr>
        <w:t>，具体时间根据采购人安排确定。</w:t>
      </w:r>
    </w:p>
    <w:p>
      <w:pPr>
        <w:spacing w:line="360" w:lineRule="auto"/>
        <w:ind w:firstLine="480" w:firstLineChars="200"/>
        <w:rPr>
          <w:rFonts w:hint="eastAsia" w:ascii="仿宋" w:hAnsi="仿宋" w:eastAsia="仿宋" w:cs="宋体"/>
          <w:color w:val="000000"/>
          <w:sz w:val="24"/>
          <w:szCs w:val="24"/>
        </w:rPr>
      </w:pPr>
      <w:r>
        <w:rPr>
          <w:rFonts w:hint="eastAsia" w:ascii="仿宋" w:hAnsi="仿宋" w:eastAsia="仿宋" w:cs="宋体"/>
          <w:color w:val="000000"/>
          <w:sz w:val="24"/>
          <w:szCs w:val="24"/>
        </w:rPr>
        <w:t>活动要求：</w:t>
      </w:r>
    </w:p>
    <w:p>
      <w:pPr>
        <w:spacing w:line="360" w:lineRule="auto"/>
        <w:ind w:firstLine="480"/>
        <w:rPr>
          <w:rFonts w:hint="eastAsia" w:ascii="仿宋" w:hAnsi="仿宋" w:eastAsia="仿宋" w:cs="宋体"/>
          <w:color w:val="000000"/>
          <w:sz w:val="24"/>
        </w:rPr>
      </w:pPr>
      <w:r>
        <w:rPr>
          <w:rFonts w:hint="eastAsia" w:ascii="仿宋" w:hAnsi="仿宋" w:eastAsia="仿宋" w:cs="宋体"/>
          <w:color w:val="000000"/>
          <w:sz w:val="24"/>
          <w:szCs w:val="24"/>
        </w:rPr>
        <w:t>1.</w:t>
      </w:r>
      <w:r>
        <w:rPr>
          <w:rFonts w:hint="eastAsia" w:ascii="仿宋" w:hAnsi="仿宋" w:eastAsia="仿宋" w:cs="宋体"/>
          <w:color w:val="000000"/>
          <w:sz w:val="24"/>
        </w:rPr>
        <w:t>深入农村和城市社区，举办不少于180场公民健康素养知识科普宣传活动，每场活动不少于1.5个小时。</w:t>
      </w:r>
    </w:p>
    <w:p>
      <w:pPr>
        <w:spacing w:line="360" w:lineRule="auto"/>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2.现场宣传必须高度贴合《中国公民健康素养--基本知识与技能》。</w:t>
      </w:r>
    </w:p>
    <w:p>
      <w:pPr>
        <w:spacing w:line="360" w:lineRule="auto"/>
        <w:ind w:firstLine="480"/>
        <w:rPr>
          <w:rFonts w:hint="eastAsia" w:ascii="仿宋" w:hAnsi="仿宋" w:eastAsia="仿宋" w:cs="宋体"/>
          <w:sz w:val="24"/>
          <w:szCs w:val="24"/>
        </w:rPr>
      </w:pPr>
      <w:r>
        <w:rPr>
          <w:rFonts w:hint="eastAsia" w:ascii="仿宋" w:hAnsi="仿宋" w:eastAsia="仿宋" w:cs="宋体"/>
          <w:color w:val="000000"/>
          <w:sz w:val="24"/>
          <w:szCs w:val="24"/>
        </w:rPr>
        <w:t>3.</w:t>
      </w:r>
      <w:r>
        <w:rPr>
          <w:rFonts w:hint="eastAsia" w:ascii="仿宋" w:hAnsi="仿宋" w:eastAsia="仿宋" w:cs="宋体"/>
          <w:sz w:val="24"/>
          <w:szCs w:val="24"/>
        </w:rPr>
        <w:t>合理安排宣传活动进度，宣传活动整体上做到张弛有度。</w:t>
      </w:r>
    </w:p>
    <w:p>
      <w:pPr>
        <w:spacing w:line="360" w:lineRule="auto"/>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4.相应宣传活动讲师配备需为知名教授、相关领域的专家学者。</w:t>
      </w:r>
    </w:p>
    <w:p>
      <w:pPr>
        <w:spacing w:line="360" w:lineRule="auto"/>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5.</w:t>
      </w:r>
      <w:r>
        <w:rPr>
          <w:rFonts w:hint="eastAsia" w:ascii="仿宋" w:hAnsi="仿宋" w:eastAsia="仿宋" w:cs="仿宋"/>
          <w:bCs/>
          <w:sz w:val="24"/>
          <w:szCs w:val="24"/>
        </w:rPr>
        <w:t>现场后勤保障人员不得少于</w:t>
      </w:r>
      <w:r>
        <w:rPr>
          <w:rFonts w:ascii="仿宋" w:hAnsi="仿宋" w:eastAsia="仿宋" w:cs="仿宋"/>
          <w:bCs/>
          <w:sz w:val="24"/>
          <w:szCs w:val="24"/>
        </w:rPr>
        <w:t>1</w:t>
      </w:r>
      <w:r>
        <w:rPr>
          <w:rFonts w:hint="eastAsia" w:ascii="仿宋" w:hAnsi="仿宋" w:eastAsia="仿宋" w:cs="仿宋"/>
          <w:bCs/>
          <w:sz w:val="24"/>
          <w:szCs w:val="24"/>
        </w:rPr>
        <w:t>人。</w:t>
      </w:r>
    </w:p>
    <w:p>
      <w:pPr>
        <w:spacing w:line="360" w:lineRule="auto"/>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6.供应商按照宣传活动要求设计宣传活动方案，宣传活动方案须经过采购人确认后组织实施。</w:t>
      </w:r>
    </w:p>
    <w:p>
      <w:pPr>
        <w:spacing w:line="360" w:lineRule="auto"/>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7.供应商须按照合同约定和宣传活动工作的实际需要，配备相应人员做好充分准备和宣传活动过程服务。</w:t>
      </w:r>
    </w:p>
    <w:p>
      <w:pPr>
        <w:spacing w:line="360" w:lineRule="auto"/>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8.供应商负责组织聘请培训师资（具有授课经验的老师）及编制课程、负责提供宣传活动资料、会务手册等相关会务。</w:t>
      </w:r>
    </w:p>
    <w:p>
      <w:pPr>
        <w:spacing w:line="360" w:lineRule="auto"/>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9.保证授课教师按宣传活动方案按时宣传，不得随意变更宣传内容；如邀请专家有特殊情况，须与采购人协商更换合适人选。</w:t>
      </w:r>
    </w:p>
    <w:p>
      <w:pPr>
        <w:spacing w:line="360" w:lineRule="auto"/>
        <w:ind w:firstLine="480"/>
        <w:rPr>
          <w:rFonts w:hint="eastAsia" w:ascii="仿宋" w:hAnsi="仿宋" w:eastAsia="仿宋" w:cs="宋体"/>
          <w:color w:val="000000"/>
          <w:sz w:val="24"/>
          <w:szCs w:val="24"/>
        </w:rPr>
      </w:pPr>
      <w:r>
        <w:rPr>
          <w:rFonts w:hint="eastAsia" w:ascii="仿宋" w:hAnsi="仿宋" w:eastAsia="仿宋" w:cs="宋体"/>
          <w:color w:val="000000"/>
          <w:sz w:val="24"/>
          <w:szCs w:val="24"/>
        </w:rPr>
        <w:t>10.</w:t>
      </w:r>
      <w:r>
        <w:rPr>
          <w:rFonts w:hint="eastAsia" w:ascii="仿宋" w:hAnsi="仿宋" w:eastAsia="仿宋" w:cs="仿宋"/>
          <w:bCs/>
          <w:sz w:val="24"/>
          <w:szCs w:val="24"/>
        </w:rPr>
        <w:t xml:space="preserve"> 活动期间，每个班都需有课程表及学员签到表，每堂课都需有教材或讲义，每节课留需有影像资料。在活动结束后，以上资料整理成册。</w:t>
      </w:r>
    </w:p>
    <w:p>
      <w:pPr>
        <w:spacing w:line="360" w:lineRule="auto"/>
        <w:ind w:firstLine="480"/>
        <w:rPr>
          <w:rFonts w:hint="eastAsia" w:ascii="仿宋" w:hAnsi="仿宋" w:eastAsia="仿宋" w:cs="仿宋"/>
          <w:b/>
          <w:sz w:val="24"/>
          <w:szCs w:val="24"/>
        </w:rPr>
      </w:pPr>
      <w:r>
        <w:rPr>
          <w:rFonts w:hint="eastAsia" w:ascii="仿宋" w:hAnsi="仿宋" w:eastAsia="仿宋" w:cs="宋体"/>
          <w:b/>
          <w:bCs/>
          <w:sz w:val="24"/>
          <w:szCs w:val="24"/>
        </w:rPr>
        <w:t>三、</w:t>
      </w:r>
      <w:r>
        <w:rPr>
          <w:rFonts w:hint="eastAsia" w:ascii="仿宋" w:hAnsi="仿宋" w:eastAsia="仿宋" w:cs="仿宋"/>
          <w:b/>
          <w:sz w:val="24"/>
          <w:szCs w:val="24"/>
        </w:rPr>
        <w:t>商务要求</w:t>
      </w:r>
    </w:p>
    <w:p>
      <w:pPr>
        <w:widowControl/>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 xml:space="preserve">服务期限： </w:t>
      </w:r>
      <w:r>
        <w:rPr>
          <w:rFonts w:ascii="仿宋" w:hAnsi="仿宋" w:eastAsia="仿宋" w:cs="宋体"/>
          <w:color w:val="000000"/>
          <w:sz w:val="24"/>
          <w:szCs w:val="24"/>
        </w:rPr>
        <w:t>202</w:t>
      </w:r>
      <w:r>
        <w:rPr>
          <w:rFonts w:hint="eastAsia" w:ascii="仿宋" w:hAnsi="仿宋" w:eastAsia="仿宋" w:cs="宋体"/>
          <w:color w:val="000000"/>
          <w:sz w:val="24"/>
          <w:szCs w:val="24"/>
        </w:rPr>
        <w:t>4</w:t>
      </w:r>
      <w:r>
        <w:rPr>
          <w:rFonts w:ascii="仿宋" w:hAnsi="仿宋" w:eastAsia="仿宋" w:cs="宋体"/>
          <w:color w:val="000000"/>
          <w:sz w:val="24"/>
          <w:szCs w:val="24"/>
        </w:rPr>
        <w:t>年</w:t>
      </w:r>
      <w:r>
        <w:rPr>
          <w:rFonts w:hint="eastAsia" w:ascii="仿宋" w:hAnsi="仿宋" w:eastAsia="仿宋" w:cs="宋体"/>
          <w:color w:val="000000"/>
          <w:sz w:val="24"/>
          <w:szCs w:val="24"/>
        </w:rPr>
        <w:t>12</w:t>
      </w:r>
      <w:r>
        <w:rPr>
          <w:rFonts w:ascii="仿宋" w:hAnsi="仿宋" w:eastAsia="仿宋" w:cs="宋体"/>
          <w:color w:val="000000"/>
          <w:sz w:val="24"/>
          <w:szCs w:val="24"/>
        </w:rPr>
        <w:t>月</w:t>
      </w:r>
      <w:r>
        <w:rPr>
          <w:rFonts w:hint="eastAsia" w:ascii="仿宋" w:hAnsi="仿宋" w:eastAsia="仿宋" w:cs="宋体"/>
          <w:color w:val="000000"/>
          <w:sz w:val="24"/>
          <w:szCs w:val="24"/>
        </w:rPr>
        <w:t>至2025年11月</w:t>
      </w:r>
      <w:r>
        <w:rPr>
          <w:rFonts w:hint="eastAsia" w:ascii="仿宋" w:hAnsi="仿宋" w:eastAsia="仿宋" w:cs="仿宋"/>
          <w:bCs/>
          <w:sz w:val="24"/>
          <w:szCs w:val="24"/>
        </w:rPr>
        <w:t>，具体时间根据采购人安排确定。</w:t>
      </w:r>
    </w:p>
    <w:p>
      <w:pPr>
        <w:widowControl/>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2.</w:t>
      </w:r>
      <w:r>
        <w:rPr>
          <w:rFonts w:hint="eastAsia" w:ascii="仿宋" w:hAnsi="仿宋" w:eastAsia="仿宋" w:cs="仿宋"/>
          <w:bCs/>
          <w:sz w:val="24"/>
          <w:szCs w:val="24"/>
        </w:rPr>
        <w:t>付款方式：合同签订后支付合同金额的50%，</w:t>
      </w:r>
      <w:r>
        <w:rPr>
          <w:rFonts w:hint="eastAsia" w:ascii="仿宋" w:hAnsi="仿宋" w:eastAsia="仿宋" w:cs="宋体"/>
          <w:bCs/>
          <w:sz w:val="24"/>
          <w:szCs w:val="24"/>
        </w:rPr>
        <w:t>项目完成且验收合格后一次性付清余款</w:t>
      </w:r>
      <w:r>
        <w:rPr>
          <w:rFonts w:hint="eastAsia" w:ascii="仿宋" w:hAnsi="仿宋" w:eastAsia="仿宋" w:cs="仿宋"/>
          <w:bCs/>
          <w:sz w:val="24"/>
          <w:szCs w:val="24"/>
        </w:rPr>
        <w:t>。</w:t>
      </w:r>
    </w:p>
    <w:p>
      <w:pPr>
        <w:widowControl/>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w:t>
      </w:r>
      <w:r>
        <w:rPr>
          <w:rFonts w:hint="eastAsia" w:ascii="仿宋" w:hAnsi="仿宋" w:eastAsia="仿宋" w:cs="仿宋"/>
          <w:bCs/>
          <w:sz w:val="24"/>
          <w:szCs w:val="24"/>
        </w:rPr>
        <w:t>.验收标准：在活动结束后，成交供应商提交验收申请（验收申请内容包括但不限于：课程表、学员签到表、教材或讲义、影像材料等）。在接到成交供应商验收申请后，5个工作日内予以确认是否同意组织验收，如不同意验收，向成交供应商提出书面整改意见；如同意组织验收，由采购人组织验收，组织相关专业技术人员，必要时邀请采购中心、质检等部门共同参与验收，并出具验收报告，作为支付货款的依据。</w:t>
      </w:r>
    </w:p>
    <w:p>
      <w:pPr>
        <w:widowControl/>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4</w:t>
      </w:r>
      <w:r>
        <w:rPr>
          <w:rFonts w:hint="eastAsia" w:ascii="仿宋" w:hAnsi="仿宋" w:eastAsia="仿宋" w:cs="仿宋"/>
          <w:bCs/>
          <w:sz w:val="24"/>
          <w:szCs w:val="24"/>
        </w:rPr>
        <w:t>.信息保密：严格执行国家信息安全制度，供应商须做好保密措施，不得以任何方式将数据、图件等信息资料透露给采购人以外的任何单位和个人，否则将承担法律责任。</w:t>
      </w:r>
    </w:p>
    <w:p>
      <w:pPr>
        <w:widowControl/>
        <w:spacing w:line="360" w:lineRule="auto"/>
        <w:ind w:firstLine="420" w:firstLineChars="200"/>
        <w:jc w:val="left"/>
        <w:rPr>
          <w:rFonts w:hint="eastAsia" w:ascii="仿宋" w:hAnsi="仿宋" w:eastAsia="仿宋" w:cs="宋体"/>
          <w:color w:val="000000"/>
          <w:sz w:val="28"/>
          <w:szCs w:val="28"/>
        </w:rPr>
      </w:pPr>
      <w:r>
        <w:rPr>
          <w:rFonts w:ascii="仿宋" w:hAnsi="仿宋" w:eastAsia="仿宋"/>
        </w:rPr>
        <w:br w:type="page"/>
      </w:r>
    </w:p>
    <w:p>
      <w:pPr>
        <w:pStyle w:val="2"/>
        <w:spacing w:before="159" w:beforeLines="50" w:after="159" w:afterLines="50" w:line="360" w:lineRule="auto"/>
        <w:jc w:val="center"/>
        <w:rPr>
          <w:rFonts w:hint="eastAsia" w:ascii="仿宋" w:hAnsi="仿宋" w:eastAsia="仿宋"/>
          <w:sz w:val="32"/>
          <w:szCs w:val="32"/>
        </w:rPr>
      </w:pPr>
      <w:r>
        <w:rPr>
          <w:rFonts w:hint="eastAsia" w:ascii="仿宋" w:hAnsi="仿宋" w:eastAsia="仿宋"/>
          <w:sz w:val="32"/>
          <w:szCs w:val="32"/>
        </w:rPr>
        <w:t>第四部分 评审方法和评审标准</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ascii="仿宋" w:hAnsi="仿宋" w:eastAsia="仿宋" w:cs="仿宋"/>
          <w:b/>
          <w:sz w:val="24"/>
          <w:szCs w:val="24"/>
        </w:rPr>
        <w:t>一、</w:t>
      </w:r>
      <w:r>
        <w:rPr>
          <w:rFonts w:hint="eastAsia" w:ascii="仿宋" w:hAnsi="仿宋" w:eastAsia="仿宋" w:cs="仿宋"/>
          <w:b/>
          <w:sz w:val="24"/>
          <w:szCs w:val="24"/>
        </w:rPr>
        <w:t>比选</w:t>
      </w:r>
      <w:r>
        <w:rPr>
          <w:rFonts w:ascii="仿宋" w:hAnsi="仿宋" w:eastAsia="仿宋" w:cs="仿宋"/>
          <w:b/>
          <w:sz w:val="24"/>
          <w:szCs w:val="24"/>
        </w:rPr>
        <w:t>方式</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现场提交响应文件。特殊情况下，采购人或招标代理机构可以采用不见面远程开标模式，具体方式另行通知。</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ascii="仿宋" w:hAnsi="仿宋" w:eastAsia="仿宋" w:cs="仿宋"/>
          <w:b/>
          <w:sz w:val="24"/>
          <w:szCs w:val="24"/>
        </w:rPr>
        <w:t>二、</w:t>
      </w:r>
      <w:r>
        <w:rPr>
          <w:rFonts w:hint="eastAsia" w:ascii="仿宋" w:hAnsi="仿宋" w:eastAsia="仿宋" w:cs="仿宋"/>
          <w:b/>
          <w:sz w:val="24"/>
          <w:szCs w:val="24"/>
        </w:rPr>
        <w:t>比选</w:t>
      </w:r>
      <w:r>
        <w:rPr>
          <w:rFonts w:ascii="仿宋" w:hAnsi="仿宋" w:eastAsia="仿宋" w:cs="仿宋"/>
          <w:b/>
          <w:sz w:val="24"/>
          <w:szCs w:val="24"/>
        </w:rPr>
        <w:t>程序及评审方法和标准</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1.评审方法：综合评分法，经</w:t>
      </w:r>
      <w:r>
        <w:rPr>
          <w:rFonts w:hint="eastAsia" w:ascii="仿宋" w:hAnsi="仿宋" w:eastAsia="仿宋" w:cs="仿宋"/>
          <w:sz w:val="24"/>
          <w:szCs w:val="24"/>
        </w:rPr>
        <w:t>比选</w:t>
      </w:r>
      <w:r>
        <w:rPr>
          <w:rFonts w:ascii="仿宋" w:hAnsi="仿宋" w:eastAsia="仿宋" w:cs="仿宋"/>
          <w:bCs/>
          <w:sz w:val="24"/>
          <w:szCs w:val="24"/>
        </w:rPr>
        <w:t>确定最终采购需求和提交最后报价的供应商后，由</w:t>
      </w:r>
      <w:r>
        <w:rPr>
          <w:rFonts w:hint="eastAsia" w:ascii="仿宋" w:hAnsi="仿宋" w:eastAsia="仿宋" w:cs="仿宋"/>
          <w:sz w:val="24"/>
          <w:szCs w:val="24"/>
        </w:rPr>
        <w:t>比选</w:t>
      </w:r>
      <w:r>
        <w:rPr>
          <w:rFonts w:ascii="仿宋" w:hAnsi="仿宋" w:eastAsia="仿宋" w:cs="仿宋"/>
          <w:bCs/>
          <w:sz w:val="24"/>
          <w:szCs w:val="24"/>
        </w:rPr>
        <w:t>小组采用综合评分法对提交最后报价的供应商的响应文件和最后报价进行综合评分。</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综合评分法，是指响应文件满足比选文件全部实质性要求且按评审因素的量化指标评审得分最高的供应商为成交候选供应商的评审方法。评审时，</w:t>
      </w:r>
      <w:r>
        <w:rPr>
          <w:rFonts w:hint="eastAsia" w:ascii="仿宋" w:hAnsi="仿宋" w:eastAsia="仿宋" w:cs="仿宋"/>
          <w:sz w:val="24"/>
          <w:szCs w:val="24"/>
        </w:rPr>
        <w:t>比选</w:t>
      </w:r>
      <w:r>
        <w:rPr>
          <w:rFonts w:ascii="仿宋" w:hAnsi="仿宋" w:eastAsia="仿宋" w:cs="仿宋"/>
          <w:bCs/>
          <w:sz w:val="24"/>
          <w:szCs w:val="24"/>
        </w:rPr>
        <w:t>小组各成员独立对每个有效响应的文件进行评价、打分，然后汇总每个供应商每项评分因素的得分。</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商务技术部分评审结束后进入最后报价环节，最后报价将作为评审价。最后报价填报通知后，所有的响应供应商须在15分钟内填写并提交最后报价，未在规定时间内提交最后报价的，视作无效响应处理。</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最后报价是供应商响应文件的有效组成部分，提交最后报价的供应商不得少于3家。</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供应商商务、技术部分和价格部分的合计分值，为该供应商的评审总得分。</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评审结果按评审后得分由高到低顺序排列。得分相同的，按响应报价由低到高顺序排列。得分且响应报价相同的并列。响应文件满足比选文件全部实质性要求，且按照评审因素的量化指标评审得分前三名的供应商为成交候选人。</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评委在认真审阅响应文件的基础上，根据各响应文件的响应程度独立评判，不得统一打分。</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（一）采购人（代表）对供应商资格进行审查。</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供应商资格不合格的，其响应文件判定为无效响应文件。</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（二）</w:t>
      </w:r>
      <w:r>
        <w:rPr>
          <w:rFonts w:hint="eastAsia" w:ascii="仿宋" w:hAnsi="仿宋" w:eastAsia="仿宋" w:cs="仿宋"/>
          <w:sz w:val="24"/>
          <w:szCs w:val="24"/>
        </w:rPr>
        <w:t>比选</w:t>
      </w:r>
      <w:r>
        <w:rPr>
          <w:rFonts w:ascii="仿宋" w:hAnsi="仿宋" w:eastAsia="仿宋" w:cs="仿宋"/>
          <w:bCs/>
          <w:sz w:val="24"/>
          <w:szCs w:val="24"/>
        </w:rPr>
        <w:t>小组对符合资格供应商的响应文件进行符合性审查。</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未通过符合性审查的响应文件，将被判为不满足比选文件实质性要求。</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（三）商务技术分：</w:t>
      </w:r>
      <w:r>
        <w:rPr>
          <w:rFonts w:hint="eastAsia" w:ascii="仿宋" w:hAnsi="仿宋" w:eastAsia="仿宋" w:cs="仿宋"/>
          <w:bCs/>
          <w:sz w:val="24"/>
          <w:szCs w:val="24"/>
        </w:rPr>
        <w:t>80</w:t>
      </w:r>
      <w:r>
        <w:rPr>
          <w:rFonts w:ascii="仿宋" w:hAnsi="仿宋" w:eastAsia="仿宋" w:cs="仿宋"/>
          <w:bCs/>
          <w:sz w:val="24"/>
          <w:szCs w:val="24"/>
        </w:rPr>
        <w:t>分</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各供应商得分为</w:t>
      </w:r>
      <w:r>
        <w:rPr>
          <w:rFonts w:hint="eastAsia" w:ascii="仿宋" w:hAnsi="仿宋" w:eastAsia="仿宋" w:cs="仿宋"/>
          <w:sz w:val="24"/>
          <w:szCs w:val="24"/>
        </w:rPr>
        <w:t>比选</w:t>
      </w:r>
      <w:r>
        <w:rPr>
          <w:rFonts w:ascii="仿宋" w:hAnsi="仿宋" w:eastAsia="仿宋" w:cs="仿宋"/>
          <w:bCs/>
          <w:sz w:val="24"/>
          <w:szCs w:val="24"/>
        </w:rPr>
        <w:t>小组成员评分的算术平均分，分值保留小数点后两位。</w:t>
      </w:r>
    </w:p>
    <w:tbl>
      <w:tblPr>
        <w:tblStyle w:val="14"/>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3"/>
        <w:gridCol w:w="85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Borders>
              <w:tl2br w:val="nil"/>
              <w:tr2bl w:val="nil"/>
            </w:tcBorders>
            <w:vAlign w:val="center"/>
          </w:tcPr>
          <w:p>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553" w:type="dxa"/>
            <w:tcBorders>
              <w:tl2br w:val="nil"/>
              <w:tr2bl w:val="nil"/>
            </w:tcBorders>
            <w:vAlign w:val="center"/>
          </w:tcPr>
          <w:p>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评分项目</w:t>
            </w:r>
          </w:p>
        </w:tc>
        <w:tc>
          <w:tcPr>
            <w:tcW w:w="851" w:type="dxa"/>
            <w:tcBorders>
              <w:tl2br w:val="nil"/>
              <w:tr2bl w:val="nil"/>
            </w:tcBorders>
            <w:vAlign w:val="center"/>
          </w:tcPr>
          <w:p>
            <w:pPr>
              <w:widowControl/>
              <w:shd w:val="clear" w:color="auto" w:fill="FFFFFF"/>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分值</w:t>
            </w:r>
          </w:p>
        </w:tc>
        <w:tc>
          <w:tcPr>
            <w:tcW w:w="6804" w:type="dxa"/>
            <w:tcBorders>
              <w:tl2br w:val="nil"/>
              <w:tr2bl w:val="nil"/>
            </w:tcBorders>
            <w:vAlign w:val="center"/>
          </w:tcPr>
          <w:p>
            <w:pPr>
              <w:widowControl/>
              <w:shd w:val="clear" w:color="auto" w:fill="FFFFFF"/>
              <w:spacing w:line="360" w:lineRule="auto"/>
              <w:ind w:firstLine="482" w:firstLineChars="200"/>
              <w:jc w:val="center"/>
              <w:rPr>
                <w:rFonts w:hint="eastAsia" w:ascii="仿宋" w:hAnsi="仿宋" w:eastAsia="仿宋" w:cs="Times New Roman"/>
                <w:b/>
                <w:bCs/>
                <w:kern w:val="0"/>
                <w:sz w:val="24"/>
                <w:szCs w:val="24"/>
              </w:rPr>
            </w:pPr>
            <w:r>
              <w:rPr>
                <w:rFonts w:hint="eastAsia" w:ascii="仿宋" w:hAnsi="仿宋" w:eastAsia="仿宋" w:cs="Times New Roman"/>
                <w:b/>
                <w:bCs/>
                <w:kern w:val="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710"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553"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宣传阵地</w:t>
            </w:r>
          </w:p>
        </w:tc>
        <w:tc>
          <w:tcPr>
            <w:tcW w:w="851"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6804" w:type="dxa"/>
            <w:tcBorders>
              <w:tl2br w:val="nil"/>
              <w:tr2bl w:val="nil"/>
            </w:tcBorders>
            <w:vAlign w:val="center"/>
          </w:tcPr>
          <w:p>
            <w:pPr>
              <w:widowControl/>
              <w:shd w:val="clear" w:color="auto" w:fill="FFFFFF"/>
              <w:spacing w:line="360" w:lineRule="auto"/>
              <w:jc w:val="left"/>
              <w:rPr>
                <w:rFonts w:hint="eastAsia"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根据供应商为本项目配备宣传阵地的情况打分：每个行政区域都配备3个</w:t>
            </w:r>
            <w:r>
              <w:rPr>
                <w:rFonts w:hint="eastAsia" w:ascii="仿宋" w:hAnsi="仿宋" w:eastAsia="仿宋" w:cs="仿宋"/>
                <w:color w:val="000000" w:themeColor="text1"/>
                <w:sz w:val="24"/>
                <w:szCs w:val="24"/>
                <w14:textFill>
                  <w14:solidFill>
                    <w14:schemeClr w14:val="tx1"/>
                  </w14:solidFill>
                </w14:textFill>
              </w:rPr>
              <w:t>宣传阵地</w:t>
            </w:r>
            <w:r>
              <w:rPr>
                <w:rFonts w:hint="eastAsia" w:ascii="仿宋" w:hAnsi="仿宋" w:eastAsia="仿宋" w:cs="Times New Roman"/>
                <w:color w:val="000000" w:themeColor="text1"/>
                <w:kern w:val="0"/>
                <w:sz w:val="24"/>
                <w:szCs w:val="24"/>
                <w14:textFill>
                  <w14:solidFill>
                    <w14:schemeClr w14:val="tx1"/>
                  </w14:solidFill>
                </w14:textFill>
              </w:rPr>
              <w:t>有效覆盖八个县（市、区），提供24个及以上的得15分；所提供的</w:t>
            </w:r>
            <w:r>
              <w:rPr>
                <w:rFonts w:hint="eastAsia" w:ascii="仿宋" w:hAnsi="仿宋" w:eastAsia="仿宋" w:cs="仿宋"/>
                <w:color w:val="000000" w:themeColor="text1"/>
                <w:sz w:val="24"/>
                <w:szCs w:val="24"/>
                <w14:textFill>
                  <w14:solidFill>
                    <w14:schemeClr w14:val="tx1"/>
                  </w14:solidFill>
                </w14:textFill>
              </w:rPr>
              <w:t>宣传阵地</w:t>
            </w:r>
            <w:r>
              <w:rPr>
                <w:rFonts w:hint="eastAsia" w:ascii="仿宋" w:hAnsi="仿宋" w:eastAsia="仿宋" w:cs="Times New Roman"/>
                <w:color w:val="000000" w:themeColor="text1"/>
                <w:kern w:val="0"/>
                <w:sz w:val="24"/>
                <w:szCs w:val="24"/>
                <w14:textFill>
                  <w14:solidFill>
                    <w14:schemeClr w14:val="tx1"/>
                  </w14:solidFill>
                </w14:textFill>
              </w:rPr>
              <w:t>少于24个时，每少提供1个</w:t>
            </w:r>
            <w:r>
              <w:rPr>
                <w:rFonts w:hint="eastAsia" w:ascii="仿宋" w:hAnsi="仿宋" w:eastAsia="仿宋" w:cs="仿宋"/>
                <w:color w:val="000000" w:themeColor="text1"/>
                <w:sz w:val="24"/>
                <w:szCs w:val="24"/>
                <w14:textFill>
                  <w14:solidFill>
                    <w14:schemeClr w14:val="tx1"/>
                  </w14:solidFill>
                </w14:textFill>
              </w:rPr>
              <w:t>宣传阵地</w:t>
            </w:r>
            <w:r>
              <w:rPr>
                <w:rFonts w:hint="eastAsia" w:ascii="仿宋" w:hAnsi="仿宋" w:eastAsia="仿宋" w:cs="Times New Roman"/>
                <w:color w:val="000000" w:themeColor="text1"/>
                <w:kern w:val="0"/>
                <w:sz w:val="24"/>
                <w:szCs w:val="24"/>
                <w14:textFill>
                  <w14:solidFill>
                    <w14:schemeClr w14:val="tx1"/>
                  </w14:solidFill>
                </w14:textFill>
              </w:rPr>
              <w:t>覆盖一个行政区划扣1.5分，扣完为止，本项最高得15分。</w:t>
            </w:r>
          </w:p>
          <w:p>
            <w:pPr>
              <w:widowControl/>
              <w:shd w:val="clear" w:color="auto" w:fill="FFFFFF"/>
              <w:spacing w:line="360" w:lineRule="auto"/>
              <w:jc w:val="left"/>
              <w:rPr>
                <w:rFonts w:hint="eastAsia"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注：须提供宣传阵地的图片资料或证明材料，不提供不得分。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10"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ascii="仿宋" w:hAnsi="仿宋" w:eastAsia="仿宋" w:cs="仿宋"/>
                <w:sz w:val="24"/>
                <w:szCs w:val="24"/>
              </w:rPr>
              <w:t>2</w:t>
            </w:r>
          </w:p>
        </w:tc>
        <w:tc>
          <w:tcPr>
            <w:tcW w:w="1553"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讲师团能力</w:t>
            </w:r>
          </w:p>
        </w:tc>
        <w:tc>
          <w:tcPr>
            <w:tcW w:w="851"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30</w:t>
            </w:r>
          </w:p>
        </w:tc>
        <w:tc>
          <w:tcPr>
            <w:tcW w:w="6804" w:type="dxa"/>
            <w:tcBorders>
              <w:tl2br w:val="nil"/>
              <w:tr2bl w:val="nil"/>
            </w:tcBorders>
            <w:vAlign w:val="center"/>
          </w:tcPr>
          <w:p>
            <w:pPr>
              <w:widowControl/>
              <w:shd w:val="clear" w:color="auto" w:fill="FFFFFF"/>
              <w:spacing w:line="360" w:lineRule="auto"/>
              <w:jc w:val="left"/>
              <w:rPr>
                <w:rFonts w:hint="eastAsia"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根据相应讲师师资的配备情况评分：</w:t>
            </w:r>
          </w:p>
          <w:p>
            <w:pPr>
              <w:widowControl/>
              <w:shd w:val="clear" w:color="auto" w:fill="FFFFFF"/>
              <w:spacing w:line="360" w:lineRule="auto"/>
              <w:jc w:val="left"/>
              <w:rPr>
                <w:rFonts w:hint="eastAsia"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1.具有医学专业正高级职称人员的，每提供一个得3分，具有医学专业副高级职称人员，每个得2分，本项最高得20分。</w:t>
            </w:r>
          </w:p>
          <w:p>
            <w:pPr>
              <w:widowControl/>
              <w:shd w:val="clear" w:color="auto" w:fill="FFFFFF"/>
              <w:spacing w:line="360" w:lineRule="auto"/>
              <w:jc w:val="left"/>
              <w:rPr>
                <w:rFonts w:hint="eastAsia"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kern w:val="0"/>
                <w:sz w:val="24"/>
                <w:szCs w:val="24"/>
                <w14:textFill>
                  <w14:solidFill>
                    <w14:schemeClr w14:val="tx1"/>
                  </w14:solidFill>
                </w14:textFill>
              </w:rPr>
              <w:t>2.具有国家级科普讲师团队成员的，每提供一个得3分，；具有省级科普讲师团队成员的，每提供一个得1分，本项最高得10分。</w:t>
            </w:r>
          </w:p>
          <w:p>
            <w:pPr>
              <w:widowControl/>
              <w:shd w:val="clear" w:color="auto" w:fill="FFFFFF"/>
              <w:spacing w:line="360" w:lineRule="auto"/>
              <w:jc w:val="left"/>
              <w:rPr>
                <w:rFonts w:hint="eastAsia" w:ascii="仿宋" w:hAnsi="仿宋" w:eastAsia="仿宋" w:cs="Times New Roman"/>
                <w:color w:val="000000" w:themeColor="text1"/>
                <w:kern w:val="0"/>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注：提供人员名单、相关证书、文件并加盖供应商公章，不提供的不得分。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0"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ascii="仿宋" w:hAnsi="仿宋" w:eastAsia="仿宋" w:cs="仿宋"/>
                <w:sz w:val="24"/>
                <w:szCs w:val="24"/>
              </w:rPr>
              <w:t>3</w:t>
            </w:r>
          </w:p>
        </w:tc>
        <w:tc>
          <w:tcPr>
            <w:tcW w:w="1553"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科普活动成果</w:t>
            </w:r>
          </w:p>
        </w:tc>
        <w:tc>
          <w:tcPr>
            <w:tcW w:w="851" w:type="dxa"/>
            <w:tcBorders>
              <w:tl2br w:val="nil"/>
              <w:tr2bl w:val="nil"/>
            </w:tcBorders>
            <w:vAlign w:val="center"/>
          </w:tcPr>
          <w:p>
            <w:pPr>
              <w:shd w:val="clear" w:color="auto" w:fill="FFFFFF"/>
              <w:spacing w:line="360" w:lineRule="auto"/>
              <w:jc w:val="center"/>
              <w:rPr>
                <w:rFonts w:hint="eastAsia" w:ascii="仿宋" w:hAnsi="仿宋" w:eastAsia="仿宋" w:cs="仿宋"/>
                <w:sz w:val="24"/>
                <w:szCs w:val="24"/>
              </w:rPr>
            </w:pPr>
            <w:r>
              <w:rPr>
                <w:rFonts w:ascii="仿宋" w:hAnsi="仿宋" w:eastAsia="仿宋" w:cs="仿宋"/>
                <w:sz w:val="24"/>
                <w:szCs w:val="24"/>
              </w:rPr>
              <w:t>15</w:t>
            </w:r>
          </w:p>
        </w:tc>
        <w:tc>
          <w:tcPr>
            <w:tcW w:w="6804" w:type="dxa"/>
            <w:tcBorders>
              <w:tl2br w:val="nil"/>
              <w:tr2bl w:val="nil"/>
            </w:tcBorders>
          </w:tcPr>
          <w:p>
            <w:pPr>
              <w:widowControl/>
              <w:shd w:val="clear" w:color="auto" w:fill="FFFFFF"/>
              <w:spacing w:line="360" w:lineRule="auto"/>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供应商提供2</w:t>
            </w:r>
            <w:r>
              <w:rPr>
                <w:rFonts w:ascii="仿宋" w:hAnsi="仿宋" w:eastAsia="仿宋" w:cs="Times New Roman"/>
                <w:kern w:val="0"/>
                <w:sz w:val="24"/>
                <w:szCs w:val="24"/>
              </w:rPr>
              <w:t>0</w:t>
            </w:r>
            <w:r>
              <w:rPr>
                <w:rFonts w:hint="eastAsia" w:ascii="仿宋" w:hAnsi="仿宋" w:eastAsia="仿宋" w:cs="Times New Roman"/>
                <w:kern w:val="0"/>
                <w:sz w:val="24"/>
                <w:szCs w:val="24"/>
              </w:rPr>
              <w:t>19年1月1日至今（以合同签订时间为准）承担过同类培训项目业绩的，每提供一个得3分，最多得6分。</w:t>
            </w:r>
          </w:p>
          <w:p>
            <w:pPr>
              <w:widowControl/>
              <w:shd w:val="clear" w:color="auto" w:fill="FFFFFF"/>
              <w:spacing w:line="360" w:lineRule="auto"/>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供应商提供2</w:t>
            </w:r>
            <w:r>
              <w:rPr>
                <w:rFonts w:ascii="仿宋" w:hAnsi="仿宋" w:eastAsia="仿宋" w:cs="Times New Roman"/>
                <w:kern w:val="0"/>
                <w:sz w:val="24"/>
                <w:szCs w:val="24"/>
              </w:rPr>
              <w:t>0</w:t>
            </w:r>
            <w:r>
              <w:rPr>
                <w:rFonts w:hint="eastAsia" w:ascii="仿宋" w:hAnsi="仿宋" w:eastAsia="仿宋" w:cs="Times New Roman"/>
                <w:kern w:val="0"/>
                <w:sz w:val="24"/>
                <w:szCs w:val="24"/>
              </w:rPr>
              <w:t>19年1月1日至今（以证书发放时间为准）获得过类似科普活动荣誉证书或表彰的</w:t>
            </w:r>
            <w:r>
              <w:rPr>
                <w:rFonts w:hint="eastAsia" w:ascii="仿宋" w:hAnsi="仿宋" w:eastAsia="仿宋" w:cs="Times New Roman"/>
                <w:color w:val="000000" w:themeColor="text1"/>
                <w:kern w:val="0"/>
                <w:sz w:val="24"/>
                <w:szCs w:val="24"/>
                <w14:textFill>
                  <w14:solidFill>
                    <w14:schemeClr w14:val="tx1"/>
                  </w14:solidFill>
                </w14:textFill>
              </w:rPr>
              <w:t>，省级及以上的每提供一个得3分，市级每提供一个得2分，本</w:t>
            </w:r>
            <w:r>
              <w:rPr>
                <w:rFonts w:hint="eastAsia" w:ascii="仿宋" w:hAnsi="仿宋" w:eastAsia="仿宋" w:cs="Times New Roman"/>
                <w:kern w:val="0"/>
                <w:sz w:val="24"/>
                <w:szCs w:val="24"/>
              </w:rPr>
              <w:t>项最高得9分。</w:t>
            </w:r>
          </w:p>
          <w:p>
            <w:pPr>
              <w:shd w:val="clear" w:color="auto" w:fill="FFFFFF"/>
              <w:spacing w:line="360" w:lineRule="auto"/>
              <w:jc w:val="left"/>
              <w:rPr>
                <w:rFonts w:hint="eastAsia" w:ascii="仿宋" w:hAnsi="仿宋" w:eastAsia="仿宋" w:cs="Times New Roman"/>
                <w:kern w:val="0"/>
                <w:sz w:val="24"/>
                <w:szCs w:val="24"/>
              </w:rPr>
            </w:pPr>
            <w:r>
              <w:rPr>
                <w:rFonts w:hint="eastAsia" w:ascii="仿宋" w:hAnsi="仿宋" w:eastAsia="仿宋" w:cs="Times New Roman"/>
                <w:kern w:val="0"/>
                <w:sz w:val="24"/>
                <w:szCs w:val="24"/>
              </w:rPr>
              <w:t>注：提供相关合同复印件、相关证书复印件或公示截图并加盖公章，不提供不得分。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10"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553" w:type="dxa"/>
            <w:tcBorders>
              <w:tl2br w:val="nil"/>
              <w:tr2bl w:val="nil"/>
            </w:tcBorders>
            <w:vAlign w:val="center"/>
          </w:tcPr>
          <w:p>
            <w:pPr>
              <w:widowControl/>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科普活动方案</w:t>
            </w:r>
          </w:p>
        </w:tc>
        <w:tc>
          <w:tcPr>
            <w:tcW w:w="851" w:type="dxa"/>
            <w:tcBorders>
              <w:tl2br w:val="nil"/>
              <w:tr2bl w:val="nil"/>
            </w:tcBorders>
            <w:vAlign w:val="center"/>
          </w:tcPr>
          <w:p>
            <w:pPr>
              <w:shd w:val="clear" w:color="auto" w:fill="FFFFFF"/>
              <w:spacing w:line="360" w:lineRule="auto"/>
              <w:jc w:val="center"/>
              <w:rPr>
                <w:rFonts w:hint="eastAsia" w:ascii="仿宋" w:hAnsi="仿宋" w:eastAsia="仿宋" w:cs="仿宋"/>
                <w:sz w:val="24"/>
                <w:szCs w:val="24"/>
              </w:rPr>
            </w:pPr>
            <w:r>
              <w:rPr>
                <w:rFonts w:hint="eastAsia" w:ascii="仿宋" w:hAnsi="仿宋" w:eastAsia="仿宋" w:cs="仿宋"/>
                <w:sz w:val="24"/>
                <w:szCs w:val="24"/>
              </w:rPr>
              <w:t>20</w:t>
            </w:r>
          </w:p>
        </w:tc>
        <w:tc>
          <w:tcPr>
            <w:tcW w:w="6804" w:type="dxa"/>
            <w:tcBorders>
              <w:tl2br w:val="nil"/>
              <w:tr2bl w:val="nil"/>
            </w:tcBorders>
            <w:vAlign w:val="center"/>
          </w:tcPr>
          <w:p>
            <w:pPr>
              <w:widowControl/>
              <w:shd w:val="clear" w:color="auto" w:fill="FFFFFF"/>
              <w:spacing w:line="360" w:lineRule="auto"/>
              <w:jc w:val="left"/>
              <w:rPr>
                <w:rFonts w:hint="eastAsia" w:ascii="仿宋" w:hAnsi="仿宋" w:eastAsia="仿宋"/>
                <w:kern w:val="0"/>
                <w:sz w:val="24"/>
              </w:rPr>
            </w:pPr>
            <w:r>
              <w:rPr>
                <w:rFonts w:hint="eastAsia" w:ascii="仿宋" w:hAnsi="仿宋" w:eastAsia="仿宋" w:cs="Times New Roman"/>
                <w:kern w:val="0"/>
                <w:sz w:val="24"/>
                <w:szCs w:val="24"/>
              </w:rPr>
              <w:t>1.</w:t>
            </w:r>
            <w:r>
              <w:rPr>
                <w:rFonts w:hint="eastAsia" w:ascii="仿宋" w:hAnsi="仿宋" w:eastAsia="仿宋"/>
                <w:kern w:val="0"/>
                <w:sz w:val="24"/>
              </w:rPr>
              <w:t xml:space="preserve"> 根据采购人的场次要求，合理分配8个县市区的场次，场次分配内容包括且不限于场次的地点、课程数量等方面，横向比较评分：优于本项目的场次要求，课程数量满足实际项目需求且区县分配得当的得5分；符合本项目的场次要求，课程数量满足实际项目需求的得3分；满足本项目的场次要求，课程数量分配比例不恰当的得1分；不满足项目需求或不提供的不得分。</w:t>
            </w:r>
          </w:p>
          <w:p>
            <w:pPr>
              <w:widowControl/>
              <w:shd w:val="clear" w:color="auto" w:fill="FFFFFF"/>
              <w:spacing w:line="360" w:lineRule="auto"/>
              <w:jc w:val="left"/>
              <w:rPr>
                <w:rFonts w:hint="eastAsia" w:ascii="仿宋" w:hAnsi="仿宋" w:eastAsia="仿宋"/>
                <w:kern w:val="0"/>
                <w:sz w:val="24"/>
              </w:rPr>
            </w:pPr>
            <w:r>
              <w:rPr>
                <w:rFonts w:hint="eastAsia" w:ascii="仿宋" w:hAnsi="仿宋" w:eastAsia="仿宋"/>
                <w:kern w:val="0"/>
                <w:sz w:val="24"/>
              </w:rPr>
              <w:t>2.根据采购人的课程内容要求，课程内容包括且不限于课程主题、课程设置、课程形式、授课讲师等方面，横向比较评分：与项目需求高度匹配，课程质量高且内容专业丰富的得10分；与项目需求较为匹配，满足基本培训需求的得8分；与项目需求一般性匹配，课程内容一般的得5分；不满足项目需求或不提供的不得分。</w:t>
            </w:r>
          </w:p>
          <w:p>
            <w:pPr>
              <w:widowControl/>
              <w:shd w:val="clear" w:color="auto" w:fill="FFFFFF"/>
              <w:spacing w:line="360" w:lineRule="auto"/>
              <w:jc w:val="left"/>
              <w:rPr>
                <w:rFonts w:hint="eastAsia" w:ascii="仿宋" w:hAnsi="仿宋" w:eastAsia="仿宋"/>
                <w:kern w:val="0"/>
                <w:sz w:val="24"/>
              </w:rPr>
            </w:pPr>
            <w:r>
              <w:rPr>
                <w:rFonts w:hint="eastAsia" w:ascii="仿宋" w:hAnsi="仿宋" w:eastAsia="仿宋"/>
                <w:kern w:val="0"/>
                <w:sz w:val="24"/>
              </w:rPr>
              <w:t>3.根据采购人的时间安排要求，时间安排包括且不限于按月划分8个区县的场次情况、具体的时间段、灵活调配情况等方面，横向比较评分：与项目需求高度匹配，时间安排充分考虑了各项因素且具有可操作性的得5分；与项目需求较为匹配，时间安排基本符合需求的得3分；与项目需求一般性匹配，时间安排混乱的得1分；不满足项目需求或不提供的不得分。</w:t>
            </w:r>
          </w:p>
        </w:tc>
      </w:tr>
    </w:tbl>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（四）价格分：</w:t>
      </w:r>
      <w:r>
        <w:rPr>
          <w:rFonts w:hint="eastAsia" w:ascii="仿宋" w:hAnsi="仿宋" w:eastAsia="仿宋" w:cs="仿宋"/>
          <w:bCs/>
          <w:sz w:val="24"/>
          <w:szCs w:val="24"/>
        </w:rPr>
        <w:t>20</w:t>
      </w:r>
      <w:r>
        <w:rPr>
          <w:rFonts w:ascii="仿宋" w:hAnsi="仿宋" w:eastAsia="仿宋" w:cs="仿宋"/>
          <w:bCs/>
          <w:sz w:val="24"/>
          <w:szCs w:val="24"/>
        </w:rPr>
        <w:t>分</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综合评分法中的价格分统一采用低价优先法计算，即满足招标文件要求且报价最低的投标人的价格为基准价，其价格分为满分。其他投标人的价格分统一按照下列公式计算：</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投标报价得分=（基准价／投标报价）×投标报价权值×100</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项目评审过程中，不得去掉最后报价中的最高报价和最低报价。</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w:t>
      </w:r>
      <w:r>
        <w:rPr>
          <w:rFonts w:hint="eastAsia" w:ascii="仿宋" w:hAnsi="仿宋" w:eastAsia="仿宋" w:cs="仿宋"/>
          <w:bCs/>
          <w:sz w:val="24"/>
          <w:szCs w:val="24"/>
        </w:rPr>
        <w:t>五</w:t>
      </w:r>
      <w:r>
        <w:rPr>
          <w:rFonts w:ascii="仿宋" w:hAnsi="仿宋" w:eastAsia="仿宋" w:cs="仿宋"/>
          <w:bCs/>
          <w:sz w:val="24"/>
          <w:szCs w:val="24"/>
        </w:rPr>
        <w:t>）成交供应商的确定</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sz w:val="24"/>
          <w:szCs w:val="24"/>
        </w:rPr>
        <w:t>比选</w:t>
      </w:r>
      <w:r>
        <w:rPr>
          <w:rFonts w:ascii="仿宋" w:hAnsi="仿宋" w:eastAsia="仿宋" w:cs="仿宋"/>
          <w:bCs/>
          <w:sz w:val="24"/>
          <w:szCs w:val="24"/>
        </w:rPr>
        <w:t>小组汇总各评委评分后，按照得分从高到低的顺序推荐三名成交候选人，并编写评审报告。</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采购人委托</w:t>
      </w:r>
      <w:r>
        <w:rPr>
          <w:rFonts w:hint="eastAsia" w:ascii="仿宋" w:hAnsi="仿宋" w:eastAsia="仿宋" w:cs="仿宋"/>
          <w:sz w:val="24"/>
          <w:szCs w:val="24"/>
        </w:rPr>
        <w:t>比选</w:t>
      </w:r>
      <w:r>
        <w:rPr>
          <w:rFonts w:ascii="仿宋" w:hAnsi="仿宋" w:eastAsia="仿宋" w:cs="仿宋"/>
          <w:bCs/>
          <w:sz w:val="24"/>
          <w:szCs w:val="24"/>
        </w:rPr>
        <w:t>小组直接确定排名第一的成交候选人为成交供应商。</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w:t>
      </w:r>
      <w:r>
        <w:rPr>
          <w:rFonts w:hint="eastAsia" w:ascii="仿宋" w:hAnsi="仿宋" w:eastAsia="仿宋" w:cs="仿宋"/>
          <w:bCs/>
          <w:sz w:val="24"/>
          <w:szCs w:val="24"/>
        </w:rPr>
        <w:t>六</w:t>
      </w:r>
      <w:r>
        <w:rPr>
          <w:rFonts w:ascii="仿宋" w:hAnsi="仿宋" w:eastAsia="仿宋" w:cs="仿宋"/>
          <w:bCs/>
          <w:sz w:val="24"/>
          <w:szCs w:val="24"/>
        </w:rPr>
        <w:t>）采购人代表宣布评审结果。</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w:t>
      </w:r>
      <w:r>
        <w:rPr>
          <w:rFonts w:hint="eastAsia" w:ascii="仿宋" w:hAnsi="仿宋" w:eastAsia="仿宋" w:cs="仿宋"/>
          <w:bCs/>
          <w:sz w:val="24"/>
          <w:szCs w:val="24"/>
        </w:rPr>
        <w:t>七</w:t>
      </w:r>
      <w:r>
        <w:rPr>
          <w:rFonts w:ascii="仿宋" w:hAnsi="仿宋" w:eastAsia="仿宋" w:cs="仿宋"/>
          <w:bCs/>
          <w:sz w:val="24"/>
          <w:szCs w:val="24"/>
        </w:rPr>
        <w:t>）公告成交结果</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自确定成交供应商之日起2个工作日内，在</w:t>
      </w:r>
      <w:r>
        <w:rPr>
          <w:rFonts w:hint="eastAsia" w:ascii="仿宋" w:hAnsi="仿宋" w:eastAsia="仿宋" w:cs="仿宋"/>
          <w:bCs/>
          <w:sz w:val="24"/>
          <w:szCs w:val="24"/>
        </w:rPr>
        <w:t>指定媒体上</w:t>
      </w:r>
      <w:r>
        <w:rPr>
          <w:rFonts w:ascii="仿宋" w:hAnsi="仿宋" w:eastAsia="仿宋" w:cs="仿宋"/>
          <w:bCs/>
          <w:sz w:val="24"/>
          <w:szCs w:val="24"/>
        </w:rPr>
        <w:t>公告成交结果，公告期限为1个工作日。</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w:t>
      </w:r>
      <w:r>
        <w:rPr>
          <w:rFonts w:hint="eastAsia" w:ascii="仿宋" w:hAnsi="仿宋" w:eastAsia="仿宋" w:cs="仿宋"/>
          <w:bCs/>
          <w:sz w:val="24"/>
          <w:szCs w:val="24"/>
        </w:rPr>
        <w:t>八</w:t>
      </w:r>
      <w:r>
        <w:rPr>
          <w:rFonts w:ascii="仿宋" w:hAnsi="仿宋" w:eastAsia="仿宋" w:cs="仿宋"/>
          <w:bCs/>
          <w:sz w:val="24"/>
          <w:szCs w:val="24"/>
        </w:rPr>
        <w:t>）发放成交通知书</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公告成交结果的同时，采购</w:t>
      </w:r>
      <w:r>
        <w:rPr>
          <w:rFonts w:hint="eastAsia" w:ascii="仿宋" w:hAnsi="仿宋" w:eastAsia="仿宋" w:cs="仿宋"/>
          <w:bCs/>
          <w:sz w:val="24"/>
          <w:szCs w:val="24"/>
        </w:rPr>
        <w:t>代理机构</w:t>
      </w:r>
      <w:r>
        <w:rPr>
          <w:rFonts w:ascii="仿宋" w:hAnsi="仿宋" w:eastAsia="仿宋" w:cs="仿宋"/>
          <w:bCs/>
          <w:sz w:val="24"/>
          <w:szCs w:val="24"/>
        </w:rPr>
        <w:t>向成交供应商发放成交通知书。</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成交通知书发出后，采购人不得违法改变成交结果，成交供应商无正当理由不得放弃成交。</w:t>
      </w:r>
    </w:p>
    <w:p>
      <w:pPr>
        <w:widowControl/>
        <w:jc w:val="left"/>
        <w:rPr>
          <w:rFonts w:hint="eastAsia" w:ascii="仿宋" w:hAnsi="仿宋" w:eastAsia="仿宋"/>
          <w:b/>
          <w:bCs/>
          <w:kern w:val="44"/>
          <w:sz w:val="44"/>
          <w:szCs w:val="44"/>
        </w:rPr>
      </w:pPr>
      <w:r>
        <w:rPr>
          <w:rFonts w:ascii="仿宋" w:hAnsi="仿宋" w:eastAsia="仿宋"/>
        </w:rPr>
        <w:br w:type="page"/>
      </w:r>
    </w:p>
    <w:p>
      <w:pPr>
        <w:pStyle w:val="2"/>
        <w:spacing w:before="159" w:beforeLines="50" w:after="159" w:afterLines="50" w:line="360" w:lineRule="auto"/>
        <w:jc w:val="center"/>
        <w:rPr>
          <w:rFonts w:hint="eastAsia" w:ascii="仿宋" w:hAnsi="仿宋" w:eastAsia="仿宋"/>
          <w:sz w:val="32"/>
          <w:szCs w:val="32"/>
        </w:rPr>
      </w:pPr>
      <w:r>
        <w:rPr>
          <w:rFonts w:hint="eastAsia" w:ascii="仿宋" w:hAnsi="仿宋" w:eastAsia="仿宋"/>
          <w:sz w:val="32"/>
          <w:szCs w:val="32"/>
        </w:rPr>
        <w:t>第五部分 响应文件组成</w:t>
      </w:r>
    </w:p>
    <w:p>
      <w:pPr>
        <w:widowControl/>
        <w:shd w:val="clear" w:color="auto" w:fill="FFFFFF"/>
        <w:spacing w:line="360" w:lineRule="auto"/>
        <w:ind w:firstLine="482" w:firstLineChars="200"/>
        <w:jc w:val="left"/>
        <w:rPr>
          <w:rFonts w:hint="eastAsia" w:ascii="仿宋" w:hAnsi="仿宋" w:eastAsia="仿宋" w:cs="仿宋"/>
          <w:b/>
          <w:sz w:val="24"/>
          <w:szCs w:val="24"/>
        </w:rPr>
      </w:pPr>
      <w:r>
        <w:rPr>
          <w:rFonts w:hint="eastAsia" w:ascii="仿宋" w:hAnsi="仿宋" w:eastAsia="仿宋" w:cs="仿宋"/>
          <w:b/>
          <w:sz w:val="24"/>
          <w:szCs w:val="24"/>
        </w:rPr>
        <w:t>响应文件由资格审查证明材料、价格文件、商务技术文件三部分组成。</w:t>
      </w:r>
    </w:p>
    <w:p>
      <w:pPr>
        <w:widowControl/>
        <w:shd w:val="clear" w:color="auto" w:fill="FFFFFF"/>
        <w:spacing w:line="360" w:lineRule="auto"/>
        <w:jc w:val="left"/>
        <w:rPr>
          <w:rFonts w:hint="eastAsia" w:ascii="仿宋" w:hAnsi="仿宋" w:eastAsia="仿宋" w:cs="仿宋"/>
          <w:b/>
          <w:sz w:val="24"/>
          <w:szCs w:val="24"/>
        </w:rPr>
      </w:pPr>
      <w:r>
        <w:rPr>
          <w:rFonts w:ascii="仿宋" w:hAnsi="仿宋" w:eastAsia="仿宋" w:cs="仿宋"/>
          <w:b/>
          <w:sz w:val="24"/>
          <w:szCs w:val="24"/>
        </w:rPr>
        <w:t>一、资格审查证明材料（</w:t>
      </w:r>
      <w:r>
        <w:rPr>
          <w:rFonts w:hint="eastAsia" w:ascii="仿宋" w:hAnsi="仿宋" w:eastAsia="仿宋" w:cs="仿宋"/>
          <w:b/>
          <w:sz w:val="24"/>
          <w:szCs w:val="24"/>
        </w:rPr>
        <w:t>一正二副，单独密封并牢固装订，</w:t>
      </w:r>
      <w:r>
        <w:rPr>
          <w:rFonts w:ascii="仿宋" w:hAnsi="仿宋" w:eastAsia="仿宋" w:cs="仿宋"/>
          <w:b/>
          <w:sz w:val="24"/>
          <w:szCs w:val="24"/>
        </w:rPr>
        <w:t>不能出现商务技术文件、价格文件）</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供应商符合资格要求的承诺函</w:t>
      </w:r>
      <w:r>
        <w:rPr>
          <w:rFonts w:ascii="仿宋" w:hAnsi="仿宋" w:eastAsia="仿宋" w:cs="仿宋"/>
          <w:bCs/>
          <w:sz w:val="24"/>
          <w:szCs w:val="24"/>
        </w:rPr>
        <w:t>；（格式见附件1）</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.法定代表人身份证明书；（格式见附件2）</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.法定代表人授权委托书原件，</w:t>
      </w:r>
      <w:r>
        <w:rPr>
          <w:rFonts w:hint="eastAsia" w:ascii="仿宋" w:hAnsi="仿宋" w:eastAsia="仿宋" w:cs="仿宋"/>
          <w:sz w:val="24"/>
          <w:szCs w:val="24"/>
        </w:rPr>
        <w:t>比选</w:t>
      </w:r>
      <w:r>
        <w:rPr>
          <w:rFonts w:ascii="仿宋" w:hAnsi="仿宋" w:eastAsia="仿宋" w:cs="仿宋"/>
          <w:bCs/>
          <w:sz w:val="24"/>
          <w:szCs w:val="24"/>
        </w:rPr>
        <w:t>代表本人身份证复印件；（格式见附件3）</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供应商营业执照复印件；</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hint="eastAsia" w:ascii="仿宋" w:hAnsi="仿宋" w:eastAsia="仿宋" w:cs="仿宋"/>
          <w:bCs/>
          <w:sz w:val="24"/>
          <w:szCs w:val="24"/>
        </w:rPr>
        <w:t>5</w:t>
      </w:r>
      <w:r>
        <w:rPr>
          <w:rFonts w:ascii="仿宋" w:hAnsi="仿宋" w:eastAsia="仿宋" w:cs="仿宋"/>
          <w:bCs/>
          <w:sz w:val="24"/>
          <w:szCs w:val="24"/>
        </w:rPr>
        <w:t>.</w:t>
      </w:r>
      <w:r>
        <w:rPr>
          <w:rFonts w:hint="eastAsia" w:ascii="仿宋" w:hAnsi="仿宋" w:eastAsia="仿宋" w:cs="仿宋"/>
          <w:bCs/>
          <w:sz w:val="24"/>
          <w:szCs w:val="24"/>
        </w:rPr>
        <w:t>供应商未被“信用中国”网站（www.creditchina.gov.cn）列入失信被执行人、重大税收违法案件当事人名单、采购严重失信行为记录名单（提供网页查询截图）；</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6.</w:t>
      </w:r>
      <w:r>
        <w:rPr>
          <w:rFonts w:hint="eastAsia" w:ascii="仿宋" w:hAnsi="仿宋" w:eastAsia="仿宋" w:cs="仿宋"/>
          <w:bCs/>
          <w:sz w:val="24"/>
          <w:szCs w:val="24"/>
        </w:rPr>
        <w:t>供应商信用承诺书；</w:t>
      </w:r>
      <w:r>
        <w:rPr>
          <w:rFonts w:ascii="仿宋" w:hAnsi="仿宋" w:eastAsia="仿宋" w:cs="仿宋"/>
          <w:bCs/>
          <w:sz w:val="24"/>
          <w:szCs w:val="24"/>
        </w:rPr>
        <w:t>（格式见附件</w:t>
      </w:r>
      <w:r>
        <w:rPr>
          <w:rFonts w:hint="eastAsia" w:ascii="仿宋" w:hAnsi="仿宋" w:eastAsia="仿宋" w:cs="仿宋"/>
          <w:bCs/>
          <w:sz w:val="24"/>
          <w:szCs w:val="24"/>
        </w:rPr>
        <w:t>9</w:t>
      </w:r>
      <w:r>
        <w:rPr>
          <w:rFonts w:ascii="仿宋" w:hAnsi="仿宋" w:eastAsia="仿宋" w:cs="仿宋"/>
          <w:bCs/>
          <w:sz w:val="24"/>
          <w:szCs w:val="24"/>
        </w:rPr>
        <w:t>）</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7.</w:t>
      </w:r>
      <w:r>
        <w:rPr>
          <w:rFonts w:hint="eastAsia" w:ascii="仿宋" w:hAnsi="仿宋" w:eastAsia="仿宋" w:cs="仿宋"/>
          <w:sz w:val="24"/>
          <w:szCs w:val="24"/>
        </w:rPr>
        <w:t>比选</w:t>
      </w:r>
      <w:r>
        <w:rPr>
          <w:rFonts w:ascii="仿宋" w:hAnsi="仿宋" w:eastAsia="仿宋" w:cs="仿宋"/>
          <w:bCs/>
          <w:sz w:val="24"/>
          <w:szCs w:val="24"/>
        </w:rPr>
        <w:t>公告资格要求提供相应的佐证材料；</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8.其它需要提交的资格审查证明材料。</w:t>
      </w:r>
    </w:p>
    <w:p>
      <w:pPr>
        <w:widowControl/>
        <w:shd w:val="clear" w:color="auto" w:fill="FFFFFF"/>
        <w:spacing w:line="360" w:lineRule="auto"/>
        <w:jc w:val="left"/>
        <w:rPr>
          <w:rFonts w:hint="eastAsia" w:ascii="仿宋" w:hAnsi="仿宋" w:eastAsia="仿宋" w:cs="仿宋"/>
          <w:b/>
          <w:sz w:val="24"/>
          <w:szCs w:val="24"/>
        </w:rPr>
      </w:pPr>
      <w:r>
        <w:rPr>
          <w:rFonts w:ascii="仿宋" w:hAnsi="仿宋" w:eastAsia="仿宋" w:cs="仿宋"/>
          <w:b/>
          <w:sz w:val="24"/>
          <w:szCs w:val="24"/>
        </w:rPr>
        <w:t>二、商务技术文件（</w:t>
      </w:r>
      <w:r>
        <w:rPr>
          <w:rFonts w:hint="eastAsia" w:ascii="仿宋" w:hAnsi="仿宋" w:eastAsia="仿宋" w:cs="仿宋"/>
          <w:b/>
          <w:sz w:val="24"/>
          <w:szCs w:val="24"/>
        </w:rPr>
        <w:t>一正二副，单独密封并牢固装订，</w:t>
      </w:r>
      <w:r>
        <w:rPr>
          <w:rFonts w:ascii="仿宋" w:hAnsi="仿宋" w:eastAsia="仿宋" w:cs="仿宋"/>
          <w:b/>
          <w:sz w:val="24"/>
          <w:szCs w:val="24"/>
        </w:rPr>
        <w:t>不能出现价格文件）</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1.供应商情况一览表；（格式见附件4）</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2.商务部分正负偏离表；（格式见附件5）</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3.技术部分正负偏离表；（格式见附件6）</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4.响应方案、货物（服务）清单。具有项目、数量、品牌、型号、配置性能等；</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5.商务技术评分标准中须提供的相关得分佐证材料；</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6.供应商认为需要提交的其他商务技术材料。</w:t>
      </w:r>
    </w:p>
    <w:p>
      <w:pPr>
        <w:widowControl/>
        <w:shd w:val="clear" w:color="auto" w:fill="FFFFFF"/>
        <w:spacing w:line="360" w:lineRule="auto"/>
        <w:jc w:val="left"/>
        <w:rPr>
          <w:rFonts w:hint="eastAsia" w:ascii="仿宋" w:hAnsi="仿宋" w:eastAsia="仿宋" w:cs="仿宋"/>
          <w:b/>
          <w:sz w:val="24"/>
          <w:szCs w:val="24"/>
        </w:rPr>
      </w:pPr>
      <w:r>
        <w:rPr>
          <w:rFonts w:ascii="仿宋" w:hAnsi="仿宋" w:eastAsia="仿宋" w:cs="仿宋"/>
          <w:b/>
          <w:sz w:val="24"/>
          <w:szCs w:val="24"/>
        </w:rPr>
        <w:t>三、价格文件</w:t>
      </w:r>
      <w:r>
        <w:rPr>
          <w:rFonts w:hint="eastAsia" w:ascii="仿宋" w:hAnsi="仿宋" w:eastAsia="仿宋" w:cs="仿宋"/>
          <w:b/>
          <w:sz w:val="24"/>
          <w:szCs w:val="24"/>
        </w:rPr>
        <w:t>（一正二副，单独密封并牢固装订）</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1.报价总表；（格式见附件7）</w:t>
      </w:r>
    </w:p>
    <w:p>
      <w:pPr>
        <w:widowControl/>
        <w:shd w:val="clear" w:color="auto" w:fill="FFFFFF"/>
        <w:spacing w:line="360" w:lineRule="auto"/>
        <w:ind w:firstLine="480" w:firstLineChars="200"/>
        <w:jc w:val="left"/>
        <w:rPr>
          <w:rFonts w:hint="eastAsia" w:ascii="仿宋" w:hAnsi="仿宋" w:eastAsia="仿宋" w:cs="仿宋"/>
          <w:bCs/>
          <w:sz w:val="24"/>
          <w:szCs w:val="24"/>
        </w:rPr>
      </w:pPr>
      <w:r>
        <w:rPr>
          <w:rFonts w:ascii="仿宋" w:hAnsi="仿宋" w:eastAsia="仿宋" w:cs="仿宋"/>
          <w:bCs/>
          <w:sz w:val="24"/>
          <w:szCs w:val="24"/>
        </w:rPr>
        <w:t>2.分项报价明细表</w:t>
      </w:r>
      <w:r>
        <w:rPr>
          <w:rFonts w:hint="eastAsia" w:ascii="仿宋" w:hAnsi="仿宋" w:eastAsia="仿宋" w:cs="仿宋"/>
          <w:bCs/>
          <w:sz w:val="24"/>
          <w:szCs w:val="24"/>
        </w:rPr>
        <w:t>。</w:t>
      </w:r>
      <w:r>
        <w:rPr>
          <w:rFonts w:ascii="仿宋" w:hAnsi="仿宋" w:eastAsia="仿宋" w:cs="仿宋"/>
          <w:bCs/>
          <w:sz w:val="24"/>
          <w:szCs w:val="24"/>
        </w:rPr>
        <w:t>（格式见附件8）</w:t>
      </w:r>
    </w:p>
    <w:p>
      <w:pPr>
        <w:widowControl/>
        <w:shd w:val="clear" w:color="auto" w:fill="FFFFFF"/>
        <w:spacing w:line="360" w:lineRule="auto"/>
        <w:ind w:firstLine="560" w:firstLineChars="200"/>
        <w:jc w:val="left"/>
        <w:rPr>
          <w:rFonts w:hint="eastAsia" w:ascii="仿宋" w:hAnsi="仿宋" w:eastAsia="仿宋" w:cs="Times New Roman"/>
          <w:kern w:val="0"/>
          <w:sz w:val="28"/>
          <w:szCs w:val="28"/>
          <w:lang w:val="zh-CN"/>
        </w:rPr>
      </w:pPr>
      <w:r>
        <w:rPr>
          <w:rFonts w:ascii="仿宋" w:hAnsi="仿宋" w:eastAsia="仿宋" w:cs="Times New Roman"/>
          <w:kern w:val="0"/>
          <w:sz w:val="28"/>
          <w:szCs w:val="28"/>
          <w:lang w:val="zh-CN"/>
        </w:rPr>
        <w:br w:type="page"/>
      </w:r>
    </w:p>
    <w:p>
      <w:pPr>
        <w:snapToGrid w:val="0"/>
        <w:spacing w:line="360" w:lineRule="auto"/>
        <w:contextualSpacing/>
        <w:rPr>
          <w:rFonts w:hint="eastAsia" w:ascii="仿宋" w:hAnsi="仿宋" w:eastAsia="仿宋" w:cs="Times New Roman"/>
          <w:kern w:val="0"/>
          <w:sz w:val="24"/>
          <w:szCs w:val="24"/>
          <w:lang w:val="zh-CN"/>
        </w:rPr>
      </w:pPr>
      <w:r>
        <w:rPr>
          <w:rFonts w:ascii="仿宋" w:hAnsi="仿宋" w:eastAsia="仿宋" w:cs="Times New Roman"/>
          <w:kern w:val="0"/>
          <w:sz w:val="24"/>
          <w:szCs w:val="24"/>
          <w:lang w:val="zh-CN"/>
        </w:rPr>
        <w:t>附件1</w:t>
      </w:r>
    </w:p>
    <w:p>
      <w:pPr>
        <w:spacing w:line="360" w:lineRule="auto"/>
        <w:jc w:val="center"/>
        <w:rPr>
          <w:rFonts w:hint="eastAsia" w:ascii="仿宋" w:hAnsi="仿宋" w:eastAsia="仿宋" w:cs="Times New Roman"/>
          <w:b/>
          <w:color w:val="000000"/>
          <w:sz w:val="24"/>
          <w:szCs w:val="24"/>
        </w:rPr>
      </w:pPr>
      <w:r>
        <w:rPr>
          <w:rFonts w:hint="eastAsia" w:ascii="仿宋" w:hAnsi="仿宋" w:eastAsia="仿宋" w:cs="Times New Roman"/>
          <w:b/>
          <w:color w:val="000000"/>
          <w:sz w:val="24"/>
          <w:szCs w:val="24"/>
        </w:rPr>
        <w:t>供应商符合资格要求的承诺函</w:t>
      </w:r>
    </w:p>
    <w:p>
      <w:pPr>
        <w:spacing w:line="360" w:lineRule="auto"/>
        <w:rPr>
          <w:rFonts w:hint="eastAsia" w:ascii="仿宋" w:hAnsi="仿宋" w:eastAsia="仿宋" w:cs="Times New Roman"/>
          <w:b/>
          <w:bCs/>
          <w:color w:val="000000"/>
          <w:sz w:val="24"/>
          <w:szCs w:val="24"/>
        </w:rPr>
      </w:pPr>
      <w:r>
        <w:rPr>
          <w:rFonts w:hint="eastAsia" w:ascii="仿宋" w:hAnsi="仿宋" w:eastAsia="仿宋" w:cs="Times New Roman"/>
          <w:b/>
          <w:bCs/>
          <w:color w:val="000000"/>
          <w:sz w:val="24"/>
          <w:szCs w:val="24"/>
        </w:rPr>
        <w:t xml:space="preserve">                          </w:t>
      </w:r>
    </w:p>
    <w:p>
      <w:pPr>
        <w:spacing w:line="360" w:lineRule="auto"/>
        <w:ind w:firstLine="480" w:firstLineChars="200"/>
        <w:rPr>
          <w:rFonts w:hint="eastAsia" w:ascii="仿宋" w:hAnsi="仿宋" w:eastAsia="仿宋" w:cs="Times New Roman"/>
          <w:b/>
          <w:bCs/>
          <w:color w:val="000000"/>
          <w:sz w:val="24"/>
          <w:szCs w:val="24"/>
        </w:rPr>
      </w:pPr>
      <w:r>
        <w:rPr>
          <w:rFonts w:hint="eastAsia" w:ascii="仿宋" w:hAnsi="仿宋" w:eastAsia="仿宋" w:cs="Times New Roman"/>
          <w:bCs/>
          <w:color w:val="000000"/>
          <w:sz w:val="24"/>
          <w:szCs w:val="24"/>
        </w:rPr>
        <w:t>我单位参加</w:t>
      </w:r>
      <w:r>
        <w:rPr>
          <w:rFonts w:hint="eastAsia" w:ascii="仿宋" w:hAnsi="仿宋" w:eastAsia="仿宋" w:cs="Times New Roman"/>
          <w:bCs/>
          <w:color w:val="000000"/>
          <w:sz w:val="24"/>
          <w:szCs w:val="24"/>
          <w:u w:val="single"/>
        </w:rPr>
        <w:t>________________ _</w:t>
      </w:r>
      <w:r>
        <w:rPr>
          <w:rFonts w:hint="eastAsia" w:ascii="仿宋" w:hAnsi="仿宋" w:eastAsia="仿宋" w:cs="Times New Roman"/>
          <w:bCs/>
          <w:color w:val="000000"/>
          <w:sz w:val="24"/>
          <w:szCs w:val="24"/>
        </w:rPr>
        <w:t>（项目名称），</w:t>
      </w:r>
      <w:r>
        <w:rPr>
          <w:rFonts w:hint="eastAsia" w:ascii="仿宋" w:hAnsi="仿宋" w:eastAsia="仿宋" w:cs="Times New Roman"/>
          <w:bCs/>
          <w:color w:val="000000"/>
          <w:sz w:val="24"/>
          <w:szCs w:val="24"/>
          <w:u w:val="single"/>
        </w:rPr>
        <w:t>_______ __________</w:t>
      </w:r>
      <w:r>
        <w:rPr>
          <w:rFonts w:hint="eastAsia" w:ascii="仿宋" w:hAnsi="仿宋" w:eastAsia="仿宋" w:cs="Times New Roman"/>
          <w:bCs/>
          <w:color w:val="000000"/>
          <w:sz w:val="24"/>
          <w:szCs w:val="24"/>
        </w:rPr>
        <w:t>（项目编号）投标活动。做出如下声明：</w:t>
      </w:r>
    </w:p>
    <w:p>
      <w:pPr>
        <w:spacing w:line="360" w:lineRule="auto"/>
        <w:ind w:firstLine="482"/>
        <w:rPr>
          <w:rFonts w:hint="eastAsia" w:ascii="仿宋" w:hAnsi="仿宋" w:eastAsia="仿宋" w:cs="Times New Roman"/>
          <w:color w:val="000000"/>
          <w:sz w:val="24"/>
          <w:szCs w:val="24"/>
        </w:rPr>
      </w:pPr>
      <w:r>
        <w:rPr>
          <w:rFonts w:hint="eastAsia" w:ascii="仿宋" w:hAnsi="仿宋" w:eastAsia="仿宋" w:cs="Times New Roman"/>
          <w:bCs/>
          <w:color w:val="000000"/>
          <w:sz w:val="24"/>
          <w:szCs w:val="24"/>
        </w:rPr>
        <w:t>1.我单位具有独立承担民事责任的能力；</w:t>
      </w:r>
    </w:p>
    <w:p>
      <w:pPr>
        <w:spacing w:line="360" w:lineRule="auto"/>
        <w:ind w:firstLine="482"/>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2.我单位具有良好的商业信誉和健全的财务会计制度；</w:t>
      </w:r>
    </w:p>
    <w:p>
      <w:pPr>
        <w:spacing w:line="360" w:lineRule="auto"/>
        <w:ind w:firstLine="482"/>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3.我单位具有履行合同所必需的设备和专业技术能力；</w:t>
      </w:r>
    </w:p>
    <w:p>
      <w:pPr>
        <w:spacing w:line="360" w:lineRule="auto"/>
        <w:ind w:firstLine="482"/>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4.我单位有依法缴纳税收和社会保障资金的良好记录；</w:t>
      </w:r>
    </w:p>
    <w:p>
      <w:pPr>
        <w:spacing w:line="360" w:lineRule="auto"/>
        <w:ind w:firstLine="482"/>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5.我单位参加采购活动前三年内，在经营活动中没有重大违法记录；</w:t>
      </w:r>
    </w:p>
    <w:p>
      <w:pPr>
        <w:spacing w:line="360" w:lineRule="auto"/>
        <w:ind w:firstLine="482"/>
        <w:rPr>
          <w:rFonts w:hint="eastAsia" w:ascii="仿宋" w:hAnsi="仿宋" w:eastAsia="仿宋" w:cs="Times New Roman"/>
          <w:color w:val="000000"/>
          <w:sz w:val="24"/>
          <w:szCs w:val="24"/>
        </w:rPr>
      </w:pPr>
      <w:r>
        <w:rPr>
          <w:rFonts w:hint="eastAsia" w:ascii="仿宋" w:hAnsi="仿宋" w:eastAsia="仿宋" w:cs="Times New Roman"/>
          <w:color w:val="000000"/>
          <w:sz w:val="24"/>
          <w:szCs w:val="24"/>
        </w:rPr>
        <w:t>6.我单位满足法律、行政法规规定的其他条件。</w:t>
      </w:r>
    </w:p>
    <w:p>
      <w:pPr>
        <w:spacing w:line="360" w:lineRule="auto"/>
        <w:rPr>
          <w:rFonts w:hint="eastAsia" w:ascii="仿宋" w:hAnsi="仿宋" w:eastAsia="仿宋" w:cs="Times New Roman"/>
          <w:bCs/>
          <w:color w:val="000000"/>
          <w:sz w:val="24"/>
          <w:szCs w:val="24"/>
        </w:rPr>
      </w:pPr>
    </w:p>
    <w:p>
      <w:pPr>
        <w:spacing w:line="360" w:lineRule="auto"/>
        <w:rPr>
          <w:rFonts w:hint="eastAsia" w:ascii="仿宋" w:hAnsi="仿宋" w:eastAsia="仿宋" w:cs="Times New Roman"/>
          <w:bCs/>
          <w:color w:val="000000"/>
          <w:sz w:val="24"/>
          <w:szCs w:val="24"/>
        </w:rPr>
      </w:pPr>
      <w:r>
        <w:rPr>
          <w:rFonts w:hint="eastAsia" w:ascii="仿宋" w:hAnsi="仿宋" w:eastAsia="仿宋" w:cs="Times New Roman"/>
          <w:bCs/>
          <w:color w:val="000000"/>
          <w:sz w:val="24"/>
          <w:szCs w:val="24"/>
        </w:rPr>
        <w:t>承诺人名称（公章）：</w:t>
      </w:r>
    </w:p>
    <w:p>
      <w:pPr>
        <w:spacing w:line="360" w:lineRule="auto"/>
        <w:ind w:right="1120"/>
        <w:rPr>
          <w:rFonts w:hint="eastAsia" w:ascii="仿宋" w:hAnsi="仿宋" w:eastAsia="仿宋" w:cs="Times New Roman"/>
          <w:bCs/>
          <w:color w:val="000000"/>
          <w:sz w:val="24"/>
          <w:szCs w:val="24"/>
        </w:rPr>
      </w:pPr>
      <w:r>
        <w:rPr>
          <w:rFonts w:hint="eastAsia" w:ascii="仿宋" w:hAnsi="仿宋" w:eastAsia="仿宋" w:cs="Times New Roman"/>
          <w:bCs/>
          <w:color w:val="000000"/>
          <w:sz w:val="24"/>
          <w:szCs w:val="24"/>
        </w:rPr>
        <w:t>日期：</w:t>
      </w:r>
      <w:r>
        <w:rPr>
          <w:rFonts w:hint="eastAsia" w:ascii="仿宋" w:hAnsi="仿宋" w:eastAsia="仿宋" w:cs="Times New Roman"/>
          <w:bCs/>
          <w:color w:val="000000"/>
          <w:sz w:val="24"/>
          <w:szCs w:val="24"/>
          <w:u w:val="single"/>
        </w:rPr>
        <w:t>______</w:t>
      </w:r>
      <w:r>
        <w:rPr>
          <w:rFonts w:hint="eastAsia" w:ascii="仿宋" w:hAnsi="仿宋" w:eastAsia="仿宋" w:cs="Times New Roman"/>
          <w:bCs/>
          <w:color w:val="000000"/>
          <w:sz w:val="24"/>
          <w:szCs w:val="24"/>
        </w:rPr>
        <w:t>年</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月</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日</w:t>
      </w:r>
    </w:p>
    <w:p>
      <w:pPr>
        <w:widowControl/>
        <w:spacing w:line="360" w:lineRule="auto"/>
        <w:jc w:val="left"/>
        <w:rPr>
          <w:rFonts w:hint="eastAsia" w:ascii="仿宋" w:hAnsi="仿宋" w:eastAsia="仿宋" w:cs="Times New Roman"/>
          <w:kern w:val="0"/>
          <w:sz w:val="24"/>
          <w:szCs w:val="24"/>
          <w:lang w:val="zh-CN"/>
        </w:rPr>
      </w:pPr>
      <w:r>
        <w:rPr>
          <w:rFonts w:ascii="仿宋" w:hAnsi="仿宋" w:eastAsia="仿宋" w:cs="Times New Roman"/>
          <w:kern w:val="0"/>
          <w:sz w:val="24"/>
          <w:szCs w:val="24"/>
          <w:lang w:val="zh-CN"/>
        </w:rPr>
        <w:br w:type="page"/>
      </w:r>
    </w:p>
    <w:p>
      <w:pPr>
        <w:snapToGrid w:val="0"/>
        <w:spacing w:line="360" w:lineRule="auto"/>
        <w:contextualSpacing/>
        <w:rPr>
          <w:rFonts w:hint="eastAsia" w:ascii="仿宋" w:hAnsi="仿宋" w:eastAsia="仿宋" w:cs="Times New Roman"/>
          <w:kern w:val="0"/>
          <w:sz w:val="24"/>
          <w:szCs w:val="24"/>
          <w:lang w:val="zh-CN"/>
        </w:rPr>
      </w:pPr>
      <w:r>
        <w:rPr>
          <w:rFonts w:ascii="仿宋" w:hAnsi="仿宋" w:eastAsia="仿宋" w:cs="Times New Roman"/>
          <w:kern w:val="0"/>
          <w:sz w:val="24"/>
          <w:szCs w:val="24"/>
          <w:lang w:val="zh-CN"/>
        </w:rPr>
        <w:t>附件2</w:t>
      </w:r>
    </w:p>
    <w:p>
      <w:pPr>
        <w:spacing w:line="360" w:lineRule="auto"/>
        <w:jc w:val="center"/>
        <w:rPr>
          <w:rFonts w:hint="eastAsia" w:ascii="仿宋" w:hAnsi="仿宋" w:eastAsia="仿宋" w:cs="Times New Roman"/>
          <w:b/>
          <w:bCs/>
          <w:sz w:val="24"/>
          <w:szCs w:val="24"/>
        </w:rPr>
      </w:pPr>
      <w:r>
        <w:rPr>
          <w:rFonts w:hint="eastAsia" w:ascii="仿宋" w:hAnsi="仿宋" w:eastAsia="仿宋" w:cs="Times New Roman"/>
          <w:b/>
          <w:bCs/>
          <w:sz w:val="24"/>
          <w:szCs w:val="24"/>
        </w:rPr>
        <w:t>法定代表人身份证明</w:t>
      </w:r>
    </w:p>
    <w:p>
      <w:pPr>
        <w:spacing w:line="360" w:lineRule="auto"/>
        <w:ind w:firstLine="480" w:firstLineChars="200"/>
        <w:rPr>
          <w:rFonts w:hint="eastAsia" w:ascii="仿宋" w:hAnsi="仿宋" w:eastAsia="仿宋" w:cs="Times New Roman"/>
          <w:sz w:val="24"/>
          <w:szCs w:val="24"/>
        </w:rPr>
      </w:pPr>
      <w:r>
        <w:rPr>
          <w:rFonts w:ascii="仿宋" w:hAnsi="仿宋" w:eastAsia="仿宋" w:cs="Times New Roman"/>
          <w:sz w:val="24"/>
          <w:szCs w:val="24"/>
          <w:u w:val="single"/>
        </w:rPr>
        <w:t xml:space="preserve">        </w:t>
      </w:r>
      <w:r>
        <w:rPr>
          <w:rFonts w:hint="eastAsia" w:ascii="仿宋" w:hAnsi="仿宋" w:eastAsia="仿宋" w:cs="Times New Roman"/>
          <w:sz w:val="24"/>
          <w:szCs w:val="24"/>
        </w:rPr>
        <w:t>先生/女士：</w:t>
      </w:r>
      <w:r>
        <w:rPr>
          <w:rFonts w:ascii="仿宋" w:hAnsi="仿宋" w:eastAsia="仿宋" w:cs="Times New Roman"/>
          <w:sz w:val="24"/>
          <w:szCs w:val="24"/>
        </w:rPr>
        <w:t xml:space="preserve"> </w:t>
      </w:r>
      <w:r>
        <w:rPr>
          <w:rFonts w:hint="eastAsia" w:ascii="仿宋" w:hAnsi="仿宋" w:eastAsia="仿宋" w:cs="Times New Roman"/>
          <w:sz w:val="24"/>
          <w:szCs w:val="24"/>
        </w:rPr>
        <w:t>现任我单位</w:t>
      </w:r>
      <w:r>
        <w:rPr>
          <w:rFonts w:ascii="仿宋" w:hAnsi="仿宋" w:eastAsia="仿宋" w:cs="Times New Roman"/>
          <w:sz w:val="24"/>
          <w:szCs w:val="24"/>
          <w:u w:val="single"/>
        </w:rPr>
        <w:t xml:space="preserve">        </w:t>
      </w:r>
      <w:r>
        <w:rPr>
          <w:rFonts w:hint="eastAsia" w:ascii="仿宋" w:hAnsi="仿宋" w:eastAsia="仿宋" w:cs="Times New Roman"/>
          <w:sz w:val="24"/>
          <w:szCs w:val="24"/>
        </w:rPr>
        <w:t>职务，为法定代表人，特此证明。</w:t>
      </w:r>
    </w:p>
    <w:p>
      <w:pPr>
        <w:spacing w:line="360" w:lineRule="auto"/>
        <w:ind w:firstLine="480"/>
        <w:rPr>
          <w:rFonts w:hint="eastAsia" w:ascii="仿宋" w:hAnsi="仿宋" w:eastAsia="仿宋" w:cs="Times New Roman"/>
          <w:sz w:val="24"/>
          <w:szCs w:val="24"/>
          <w:u w:val="single"/>
        </w:rPr>
      </w:pPr>
      <w:r>
        <w:rPr>
          <w:rFonts w:hint="eastAsia" w:ascii="仿宋" w:hAnsi="仿宋" w:eastAsia="仿宋" w:cs="Times New Roman"/>
          <w:sz w:val="24"/>
          <w:szCs w:val="24"/>
        </w:rPr>
        <w:t>身份证号码：</w:t>
      </w:r>
      <w:r>
        <w:rPr>
          <w:rFonts w:ascii="仿宋" w:hAnsi="仿宋" w:eastAsia="仿宋" w:cs="Times New Roman"/>
          <w:sz w:val="24"/>
          <w:szCs w:val="24"/>
          <w:u w:val="single"/>
        </w:rPr>
        <w:t xml:space="preserve">                              </w:t>
      </w:r>
    </w:p>
    <w:p>
      <w:pPr>
        <w:spacing w:line="360" w:lineRule="auto"/>
        <w:rPr>
          <w:rFonts w:hint="eastAsia" w:ascii="仿宋" w:hAnsi="仿宋" w:eastAsia="仿宋" w:cs="Times New Roman"/>
          <w:b/>
          <w:sz w:val="24"/>
          <w:szCs w:val="24"/>
        </w:rPr>
      </w:pPr>
      <w:r>
        <w:rPr>
          <w:rFonts w:hint="eastAsia" w:ascii="仿宋" w:hAnsi="仿宋" w:eastAsia="仿宋" w:cs="Times New Roman"/>
          <w:b/>
          <w:sz w:val="24"/>
          <w:szCs w:val="24"/>
        </w:rPr>
        <w:t>注：提供法定代表人的身份证复印件盖公章</w:t>
      </w:r>
    </w:p>
    <w:p>
      <w:pPr>
        <w:snapToGrid w:val="0"/>
        <w:spacing w:line="360" w:lineRule="auto"/>
        <w:contextualSpacing/>
        <w:rPr>
          <w:rFonts w:hint="eastAsia" w:ascii="仿宋" w:hAnsi="仿宋" w:eastAsia="仿宋" w:cs="宋体"/>
          <w:b/>
          <w:kern w:val="0"/>
          <w:sz w:val="24"/>
          <w:szCs w:val="24"/>
          <w:lang w:val="zh-CN"/>
        </w:rPr>
      </w:pPr>
    </w:p>
    <w:p>
      <w:pPr>
        <w:snapToGrid w:val="0"/>
        <w:spacing w:line="360" w:lineRule="auto"/>
        <w:contextualSpacing/>
        <w:rPr>
          <w:rFonts w:hint="eastAsia" w:ascii="仿宋" w:hAnsi="仿宋" w:eastAsia="仿宋" w:cs="宋体"/>
          <w:b/>
          <w:kern w:val="0"/>
          <w:sz w:val="24"/>
          <w:szCs w:val="24"/>
          <w:lang w:val="zh-CN"/>
        </w:rPr>
      </w:pPr>
    </w:p>
    <w:p>
      <w:pPr>
        <w:snapToGrid w:val="0"/>
        <w:spacing w:line="360" w:lineRule="auto"/>
        <w:contextualSpacing/>
        <w:rPr>
          <w:rFonts w:hint="eastAsia" w:ascii="仿宋" w:hAnsi="仿宋" w:eastAsia="仿宋" w:cs="宋体"/>
          <w:b/>
          <w:kern w:val="0"/>
          <w:sz w:val="24"/>
          <w:szCs w:val="24"/>
          <w:lang w:val="zh-CN"/>
        </w:rPr>
      </w:pPr>
    </w:p>
    <w:p>
      <w:pPr>
        <w:snapToGrid w:val="0"/>
        <w:spacing w:line="360" w:lineRule="auto"/>
        <w:contextualSpacing/>
        <w:rPr>
          <w:rFonts w:hint="eastAsia" w:ascii="仿宋" w:hAnsi="仿宋" w:eastAsia="仿宋" w:cs="Times New Roman"/>
          <w:kern w:val="0"/>
          <w:sz w:val="24"/>
          <w:szCs w:val="24"/>
          <w:lang w:val="zh-CN"/>
        </w:rPr>
      </w:pPr>
      <w:r>
        <w:rPr>
          <w:rFonts w:ascii="仿宋" w:hAnsi="仿宋" w:eastAsia="仿宋" w:cs="Times New Roman"/>
          <w:kern w:val="0"/>
          <w:sz w:val="24"/>
          <w:szCs w:val="24"/>
          <w:lang w:val="zh-CN"/>
        </w:rPr>
        <w:t>附件3</w:t>
      </w:r>
    </w:p>
    <w:p>
      <w:pPr>
        <w:spacing w:line="360" w:lineRule="auto"/>
        <w:jc w:val="center"/>
        <w:rPr>
          <w:rFonts w:hint="eastAsia" w:ascii="仿宋" w:hAnsi="仿宋" w:eastAsia="仿宋" w:cs="Times New Roman"/>
          <w:b/>
          <w:bCs/>
          <w:sz w:val="24"/>
          <w:szCs w:val="24"/>
        </w:rPr>
      </w:pPr>
      <w:r>
        <w:rPr>
          <w:rFonts w:hint="eastAsia" w:ascii="仿宋" w:hAnsi="仿宋" w:eastAsia="仿宋" w:cs="Times New Roman"/>
          <w:b/>
          <w:bCs/>
          <w:sz w:val="24"/>
          <w:szCs w:val="24"/>
        </w:rPr>
        <w:t>法定代表人授权委托书</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本人</w:t>
      </w:r>
      <w:r>
        <w:rPr>
          <w:rFonts w:ascii="仿宋" w:hAnsi="仿宋" w:eastAsia="仿宋" w:cs="Times New Roman"/>
          <w:sz w:val="24"/>
          <w:szCs w:val="24"/>
          <w:u w:val="single"/>
        </w:rPr>
        <w:t xml:space="preserve">        </w:t>
      </w:r>
      <w:r>
        <w:rPr>
          <w:rFonts w:hint="eastAsia" w:ascii="仿宋" w:hAnsi="仿宋" w:eastAsia="仿宋" w:cs="Times New Roman"/>
          <w:sz w:val="24"/>
          <w:szCs w:val="24"/>
        </w:rPr>
        <w:t>（姓名）系</w:t>
      </w:r>
      <w:r>
        <w:rPr>
          <w:rFonts w:ascii="仿宋" w:hAnsi="仿宋" w:eastAsia="仿宋" w:cs="Times New Roman"/>
          <w:sz w:val="24"/>
          <w:szCs w:val="24"/>
          <w:u w:val="single"/>
        </w:rPr>
        <w:t xml:space="preserve">        </w:t>
      </w:r>
      <w:r>
        <w:rPr>
          <w:rFonts w:hint="eastAsia" w:ascii="仿宋" w:hAnsi="仿宋" w:eastAsia="仿宋" w:cs="Times New Roman"/>
          <w:sz w:val="24"/>
          <w:szCs w:val="24"/>
        </w:rPr>
        <w:t>（授权单位名称）的法定代表人，现委托</w:t>
      </w:r>
      <w:r>
        <w:rPr>
          <w:rFonts w:ascii="仿宋" w:hAnsi="仿宋" w:eastAsia="仿宋" w:cs="Times New Roman"/>
          <w:sz w:val="24"/>
          <w:szCs w:val="24"/>
          <w:u w:val="single"/>
        </w:rPr>
        <w:t xml:space="preserve">        </w:t>
      </w:r>
      <w:r>
        <w:rPr>
          <w:rFonts w:hint="eastAsia" w:ascii="仿宋" w:hAnsi="仿宋" w:eastAsia="仿宋" w:cs="Times New Roman"/>
          <w:sz w:val="24"/>
          <w:szCs w:val="24"/>
        </w:rPr>
        <w:t>（姓名）（身份证号</w:t>
      </w:r>
      <w:r>
        <w:rPr>
          <w:rFonts w:ascii="仿宋" w:hAnsi="仿宋" w:eastAsia="仿宋" w:cs="Times New Roman"/>
          <w:sz w:val="24"/>
          <w:szCs w:val="24"/>
          <w:u w:val="single"/>
        </w:rPr>
        <w:t xml:space="preserve">        </w:t>
      </w:r>
      <w:r>
        <w:rPr>
          <w:rFonts w:hint="eastAsia" w:ascii="仿宋" w:hAnsi="仿宋" w:eastAsia="仿宋" w:cs="Times New Roman"/>
          <w:sz w:val="24"/>
          <w:szCs w:val="24"/>
        </w:rPr>
        <w:t>）为我方代理人，以我方名义全权处理与本次采购项目（编号：</w:t>
      </w:r>
      <w:r>
        <w:rPr>
          <w:rFonts w:ascii="仿宋" w:hAnsi="仿宋" w:eastAsia="仿宋" w:cs="Times New Roman"/>
          <w:sz w:val="24"/>
          <w:szCs w:val="24"/>
          <w:u w:val="single"/>
        </w:rPr>
        <w:t xml:space="preserve">        </w:t>
      </w:r>
      <w:r>
        <w:rPr>
          <w:rFonts w:hint="eastAsia" w:ascii="仿宋" w:hAnsi="仿宋" w:eastAsia="仿宋" w:cs="Times New Roman"/>
          <w:sz w:val="24"/>
          <w:szCs w:val="24"/>
        </w:rPr>
        <w:t>）有关的一切事务，其法律后果由我方承担。</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本授权书于</w:t>
      </w:r>
      <w:r>
        <w:rPr>
          <w:rFonts w:ascii="仿宋" w:hAnsi="仿宋" w:eastAsia="仿宋" w:cs="Times New Roman"/>
          <w:sz w:val="24"/>
          <w:szCs w:val="24"/>
          <w:u w:val="single"/>
        </w:rPr>
        <w:t xml:space="preserve">    </w:t>
      </w:r>
      <w:r>
        <w:rPr>
          <w:rFonts w:hint="eastAsia" w:ascii="仿宋" w:hAnsi="仿宋" w:eastAsia="仿宋" w:cs="Times New Roman"/>
          <w:sz w:val="24"/>
          <w:szCs w:val="24"/>
        </w:rPr>
        <w:t>年</w:t>
      </w:r>
      <w:r>
        <w:rPr>
          <w:rFonts w:ascii="仿宋" w:hAnsi="仿宋" w:eastAsia="仿宋" w:cs="Times New Roman"/>
          <w:sz w:val="24"/>
          <w:szCs w:val="24"/>
          <w:u w:val="single"/>
        </w:rPr>
        <w:t xml:space="preserve">   </w:t>
      </w:r>
      <w:r>
        <w:rPr>
          <w:rFonts w:hint="eastAsia" w:ascii="仿宋" w:hAnsi="仿宋" w:eastAsia="仿宋" w:cs="Times New Roman"/>
          <w:sz w:val="24"/>
          <w:szCs w:val="24"/>
        </w:rPr>
        <w:t>月</w:t>
      </w:r>
      <w:r>
        <w:rPr>
          <w:rFonts w:ascii="仿宋" w:hAnsi="仿宋" w:eastAsia="仿宋" w:cs="Times New Roman"/>
          <w:sz w:val="24"/>
          <w:szCs w:val="24"/>
          <w:u w:val="single"/>
        </w:rPr>
        <w:t xml:space="preserve">  </w:t>
      </w:r>
      <w:r>
        <w:rPr>
          <w:rFonts w:hint="eastAsia" w:ascii="仿宋" w:hAnsi="仿宋" w:eastAsia="仿宋" w:cs="Times New Roman"/>
          <w:sz w:val="24"/>
          <w:szCs w:val="24"/>
        </w:rPr>
        <w:t>日起生效。代理人无转委托权。</w:t>
      </w:r>
    </w:p>
    <w:p>
      <w:pPr>
        <w:spacing w:line="360" w:lineRule="auto"/>
        <w:ind w:firstLine="360" w:firstLineChars="150"/>
        <w:rPr>
          <w:rFonts w:hint="eastAsia" w:ascii="仿宋" w:hAnsi="仿宋" w:eastAsia="仿宋" w:cs="Times New Roman"/>
          <w:sz w:val="24"/>
          <w:szCs w:val="24"/>
        </w:rPr>
      </w:pPr>
      <w:r>
        <w:rPr>
          <w:rFonts w:hint="eastAsia" w:ascii="仿宋" w:hAnsi="仿宋" w:eastAsia="仿宋" w:cs="Times New Roman"/>
          <w:sz w:val="24"/>
          <w:szCs w:val="24"/>
        </w:rPr>
        <w:t>代理人(被授权人):</w:t>
      </w:r>
      <w:r>
        <w:rPr>
          <w:rFonts w:ascii="仿宋" w:hAnsi="仿宋" w:eastAsia="仿宋" w:cs="Times New Roman"/>
          <w:sz w:val="24"/>
          <w:szCs w:val="24"/>
          <w:u w:val="single"/>
        </w:rPr>
        <w:t xml:space="preserve">        </w:t>
      </w:r>
    </w:p>
    <w:p>
      <w:pPr>
        <w:spacing w:line="360" w:lineRule="auto"/>
        <w:ind w:firstLine="360" w:firstLineChars="150"/>
        <w:rPr>
          <w:rFonts w:hint="eastAsia" w:ascii="仿宋" w:hAnsi="仿宋" w:eastAsia="仿宋" w:cs="Times New Roman"/>
          <w:sz w:val="24"/>
          <w:szCs w:val="24"/>
        </w:rPr>
      </w:pPr>
      <w:r>
        <w:rPr>
          <w:rFonts w:hint="eastAsia" w:ascii="仿宋" w:hAnsi="仿宋" w:eastAsia="仿宋" w:cs="Times New Roman"/>
          <w:sz w:val="24"/>
          <w:szCs w:val="24"/>
        </w:rPr>
        <w:t>授权单位名称（盖章）：</w:t>
      </w:r>
      <w:r>
        <w:rPr>
          <w:rFonts w:ascii="仿宋" w:hAnsi="仿宋" w:eastAsia="仿宋" w:cs="Times New Roman"/>
          <w:sz w:val="24"/>
          <w:szCs w:val="24"/>
          <w:u w:val="single"/>
        </w:rPr>
        <w:t xml:space="preserve">        </w:t>
      </w:r>
    </w:p>
    <w:p>
      <w:pPr>
        <w:spacing w:line="360" w:lineRule="auto"/>
        <w:ind w:firstLine="360" w:firstLineChars="150"/>
        <w:rPr>
          <w:rFonts w:hint="eastAsia" w:ascii="仿宋" w:hAnsi="仿宋" w:eastAsia="仿宋" w:cs="Times New Roman"/>
          <w:sz w:val="24"/>
          <w:szCs w:val="24"/>
        </w:rPr>
      </w:pPr>
      <w:r>
        <w:rPr>
          <w:rFonts w:hint="eastAsia" w:ascii="仿宋" w:hAnsi="仿宋" w:eastAsia="仿宋" w:cs="Times New Roman"/>
          <w:sz w:val="24"/>
          <w:szCs w:val="24"/>
        </w:rPr>
        <w:t>授权单位法定代表人（签字或盖章）：</w:t>
      </w:r>
      <w:r>
        <w:rPr>
          <w:rFonts w:ascii="仿宋" w:hAnsi="仿宋" w:eastAsia="仿宋" w:cs="Times New Roman"/>
          <w:sz w:val="24"/>
          <w:szCs w:val="24"/>
          <w:u w:val="single"/>
        </w:rPr>
        <w:t xml:space="preserve">        </w:t>
      </w:r>
    </w:p>
    <w:p>
      <w:pPr>
        <w:spacing w:line="360" w:lineRule="auto"/>
        <w:jc w:val="right"/>
        <w:rPr>
          <w:rFonts w:hint="eastAsia" w:ascii="仿宋" w:hAnsi="仿宋" w:eastAsia="仿宋" w:cs="Times New Roman"/>
          <w:sz w:val="24"/>
          <w:szCs w:val="24"/>
        </w:rPr>
      </w:pPr>
    </w:p>
    <w:p>
      <w:pPr>
        <w:spacing w:line="360" w:lineRule="auto"/>
        <w:jc w:val="right"/>
        <w:rPr>
          <w:rFonts w:hint="eastAsia" w:ascii="仿宋" w:hAnsi="仿宋" w:eastAsia="仿宋" w:cs="Times New Roman"/>
          <w:sz w:val="24"/>
          <w:szCs w:val="24"/>
        </w:rPr>
      </w:pPr>
      <w:r>
        <w:rPr>
          <w:rFonts w:hint="eastAsia" w:ascii="仿宋" w:hAnsi="仿宋" w:eastAsia="仿宋" w:cs="Times New Roman"/>
          <w:bCs/>
          <w:color w:val="000000"/>
          <w:sz w:val="24"/>
          <w:szCs w:val="24"/>
          <w:u w:val="single"/>
        </w:rPr>
        <w:t>______</w:t>
      </w:r>
      <w:r>
        <w:rPr>
          <w:rFonts w:hint="eastAsia" w:ascii="仿宋" w:hAnsi="仿宋" w:eastAsia="仿宋" w:cs="Times New Roman"/>
          <w:bCs/>
          <w:color w:val="000000"/>
          <w:sz w:val="24"/>
          <w:szCs w:val="24"/>
        </w:rPr>
        <w:t>年</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月</w:t>
      </w:r>
      <w:r>
        <w:rPr>
          <w:rFonts w:hint="eastAsia" w:ascii="仿宋" w:hAnsi="仿宋" w:eastAsia="仿宋" w:cs="Times New Roman"/>
          <w:bCs/>
          <w:color w:val="000000"/>
          <w:sz w:val="24"/>
          <w:szCs w:val="24"/>
          <w:u w:val="single"/>
        </w:rPr>
        <w:t xml:space="preserve">    </w:t>
      </w:r>
      <w:r>
        <w:rPr>
          <w:rFonts w:hint="eastAsia" w:ascii="仿宋" w:hAnsi="仿宋" w:eastAsia="仿宋" w:cs="Times New Roman"/>
          <w:bCs/>
          <w:color w:val="000000"/>
          <w:sz w:val="24"/>
          <w:szCs w:val="24"/>
        </w:rPr>
        <w:t>日</w:t>
      </w:r>
    </w:p>
    <w:p>
      <w:pPr>
        <w:snapToGrid w:val="0"/>
        <w:spacing w:line="360" w:lineRule="auto"/>
        <w:contextualSpacing/>
        <w:rPr>
          <w:rFonts w:hint="eastAsia" w:ascii="仿宋" w:hAnsi="仿宋" w:eastAsia="仿宋" w:cs="宋体"/>
          <w:b/>
          <w:kern w:val="0"/>
          <w:sz w:val="24"/>
          <w:szCs w:val="24"/>
        </w:rPr>
      </w:pPr>
      <w:r>
        <w:rPr>
          <w:rFonts w:hint="eastAsia" w:ascii="仿宋" w:hAnsi="仿宋" w:eastAsia="仿宋" w:cs="宋体"/>
          <w:b/>
          <w:kern w:val="0"/>
          <w:sz w:val="24"/>
          <w:szCs w:val="24"/>
        </w:rPr>
        <w:t>注：提供</w:t>
      </w:r>
      <w:r>
        <w:rPr>
          <w:rFonts w:ascii="仿宋" w:hAnsi="仿宋" w:eastAsia="仿宋" w:cs="宋体"/>
          <w:b/>
          <w:kern w:val="0"/>
          <w:sz w:val="24"/>
          <w:szCs w:val="24"/>
        </w:rPr>
        <w:t>投标代表本人身份证复印件</w:t>
      </w:r>
      <w:r>
        <w:rPr>
          <w:rFonts w:hint="eastAsia" w:ascii="仿宋" w:hAnsi="仿宋" w:eastAsia="仿宋" w:cs="宋体"/>
          <w:b/>
          <w:kern w:val="0"/>
          <w:sz w:val="24"/>
          <w:szCs w:val="24"/>
        </w:rPr>
        <w:t>盖公章</w:t>
      </w:r>
    </w:p>
    <w:p>
      <w:pPr>
        <w:widowControl/>
        <w:spacing w:line="360" w:lineRule="auto"/>
        <w:jc w:val="left"/>
        <w:rPr>
          <w:rFonts w:hint="eastAsia"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hint="eastAsia" w:ascii="仿宋" w:hAnsi="仿宋" w:eastAsia="仿宋" w:cs="Times New Roman"/>
          <w:kern w:val="0"/>
          <w:sz w:val="24"/>
          <w:szCs w:val="24"/>
        </w:rPr>
      </w:pPr>
      <w:r>
        <w:rPr>
          <w:rFonts w:ascii="仿宋" w:hAnsi="仿宋" w:eastAsia="仿宋" w:cs="Times New Roman"/>
          <w:kern w:val="0"/>
          <w:sz w:val="24"/>
          <w:szCs w:val="24"/>
        </w:rPr>
        <w:t>附件4</w:t>
      </w:r>
    </w:p>
    <w:p>
      <w:pPr>
        <w:tabs>
          <w:tab w:val="left" w:pos="1260"/>
        </w:tabs>
        <w:snapToGrid w:val="0"/>
        <w:spacing w:line="360" w:lineRule="auto"/>
        <w:contextualSpacing/>
        <w:jc w:val="center"/>
        <w:rPr>
          <w:rFonts w:hint="eastAsia" w:ascii="仿宋" w:hAnsi="仿宋" w:eastAsia="仿宋" w:cs="Times New Roman"/>
          <w:b/>
          <w:sz w:val="24"/>
          <w:szCs w:val="24"/>
        </w:rPr>
      </w:pPr>
      <w:r>
        <w:rPr>
          <w:rFonts w:hint="eastAsia" w:ascii="仿宋" w:hAnsi="仿宋" w:eastAsia="仿宋" w:cs="Times New Roman"/>
          <w:b/>
          <w:sz w:val="24"/>
          <w:szCs w:val="24"/>
        </w:rPr>
        <w:t>供应商情况一览表</w:t>
      </w:r>
    </w:p>
    <w:tbl>
      <w:tblPr>
        <w:tblStyle w:val="14"/>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单位名称</w:t>
            </w:r>
          </w:p>
        </w:tc>
        <w:tc>
          <w:tcPr>
            <w:tcW w:w="7930" w:type="dxa"/>
            <w:gridSpan w:val="10"/>
            <w:vAlign w:val="center"/>
          </w:tcPr>
          <w:p>
            <w:pPr>
              <w:tabs>
                <w:tab w:val="left" w:pos="4320"/>
              </w:tabs>
              <w:spacing w:line="360" w:lineRule="auto"/>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单位优势及特长</w:t>
            </w:r>
          </w:p>
        </w:tc>
        <w:tc>
          <w:tcPr>
            <w:tcW w:w="7240" w:type="dxa"/>
            <w:gridSpan w:val="9"/>
            <w:vAlign w:val="center"/>
          </w:tcPr>
          <w:p>
            <w:pPr>
              <w:tabs>
                <w:tab w:val="left" w:pos="4320"/>
              </w:tabs>
              <w:spacing w:line="360" w:lineRule="auto"/>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hint="eastAsia" w:ascii="仿宋" w:hAnsi="仿宋" w:eastAsia="仿宋" w:cs="Times New Roman"/>
                <w:sz w:val="24"/>
                <w:szCs w:val="24"/>
              </w:rPr>
            </w:pPr>
            <w:r>
              <w:rPr>
                <w:rFonts w:hint="eastAsia" w:ascii="仿宋" w:hAnsi="仿宋" w:eastAsia="仿宋" w:cs="Times New Roman"/>
                <w:sz w:val="24"/>
                <w:szCs w:val="24"/>
              </w:rPr>
              <w:t>单位</w:t>
            </w:r>
          </w:p>
          <w:p>
            <w:pPr>
              <w:tabs>
                <w:tab w:val="left" w:pos="4320"/>
              </w:tabs>
              <w:spacing w:line="360" w:lineRule="auto"/>
              <w:ind w:left="266" w:hanging="266" w:hangingChars="111"/>
              <w:rPr>
                <w:rFonts w:hint="eastAsia" w:ascii="仿宋" w:hAnsi="仿宋" w:eastAsia="仿宋" w:cs="Times New Roman"/>
                <w:sz w:val="24"/>
                <w:szCs w:val="24"/>
              </w:rPr>
            </w:pPr>
            <w:r>
              <w:rPr>
                <w:rFonts w:hint="eastAsia" w:ascii="仿宋" w:hAnsi="仿宋" w:eastAsia="仿宋" w:cs="Times New Roman"/>
                <w:sz w:val="24"/>
                <w:szCs w:val="24"/>
              </w:rPr>
              <w:t>概况</w:t>
            </w:r>
          </w:p>
        </w:tc>
        <w:tc>
          <w:tcPr>
            <w:tcW w:w="1276" w:type="dxa"/>
            <w:gridSpan w:val="2"/>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职工总数</w:t>
            </w:r>
          </w:p>
        </w:tc>
        <w:tc>
          <w:tcPr>
            <w:tcW w:w="1417" w:type="dxa"/>
            <w:gridSpan w:val="2"/>
            <w:vAlign w:val="center"/>
          </w:tcPr>
          <w:p>
            <w:pPr>
              <w:tabs>
                <w:tab w:val="left" w:pos="4320"/>
              </w:tabs>
              <w:spacing w:line="360" w:lineRule="auto"/>
              <w:jc w:val="right"/>
              <w:rPr>
                <w:rFonts w:hint="eastAsia" w:ascii="仿宋" w:hAnsi="仿宋" w:eastAsia="仿宋" w:cs="Times New Roman"/>
                <w:sz w:val="24"/>
                <w:szCs w:val="24"/>
              </w:rPr>
            </w:pPr>
            <w:r>
              <w:rPr>
                <w:rFonts w:hint="eastAsia" w:ascii="仿宋" w:hAnsi="仿宋" w:eastAsia="仿宋" w:cs="Times New Roman"/>
                <w:sz w:val="24"/>
                <w:szCs w:val="24"/>
              </w:rPr>
              <w:t>人</w:t>
            </w:r>
          </w:p>
        </w:tc>
        <w:tc>
          <w:tcPr>
            <w:tcW w:w="728" w:type="dxa"/>
            <w:vMerge w:val="restart"/>
            <w:vAlign w:val="center"/>
          </w:tcPr>
          <w:p>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上一年主要经济指标</w:t>
            </w:r>
          </w:p>
        </w:tc>
        <w:tc>
          <w:tcPr>
            <w:tcW w:w="946" w:type="dxa"/>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营业额</w:t>
            </w:r>
          </w:p>
        </w:tc>
        <w:tc>
          <w:tcPr>
            <w:tcW w:w="1414" w:type="dxa"/>
            <w:gridSpan w:val="2"/>
            <w:vAlign w:val="center"/>
          </w:tcPr>
          <w:p>
            <w:pPr>
              <w:tabs>
                <w:tab w:val="left" w:pos="4320"/>
              </w:tabs>
              <w:spacing w:line="360" w:lineRule="auto"/>
              <w:rPr>
                <w:rFonts w:hint="eastAsia" w:ascii="仿宋" w:hAnsi="仿宋" w:eastAsia="仿宋" w:cs="Times New Roman"/>
                <w:sz w:val="24"/>
                <w:szCs w:val="24"/>
              </w:rPr>
            </w:pPr>
          </w:p>
        </w:tc>
        <w:tc>
          <w:tcPr>
            <w:tcW w:w="1184" w:type="dxa"/>
            <w:gridSpan w:val="2"/>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实现利润</w:t>
            </w:r>
          </w:p>
        </w:tc>
        <w:tc>
          <w:tcPr>
            <w:tcW w:w="1544" w:type="dxa"/>
            <w:vAlign w:val="center"/>
          </w:tcPr>
          <w:p>
            <w:pPr>
              <w:tabs>
                <w:tab w:val="left" w:pos="4320"/>
              </w:tabs>
              <w:spacing w:line="360" w:lineRule="auto"/>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hint="eastAsia" w:ascii="仿宋" w:hAnsi="仿宋" w:eastAsia="仿宋" w:cs="Times New Roman"/>
                <w:sz w:val="24"/>
                <w:szCs w:val="24"/>
              </w:rPr>
            </w:pPr>
          </w:p>
        </w:tc>
        <w:tc>
          <w:tcPr>
            <w:tcW w:w="1276" w:type="dxa"/>
            <w:gridSpan w:val="2"/>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流动资金</w:t>
            </w:r>
          </w:p>
        </w:tc>
        <w:tc>
          <w:tcPr>
            <w:tcW w:w="1417" w:type="dxa"/>
            <w:gridSpan w:val="2"/>
            <w:vAlign w:val="center"/>
          </w:tcPr>
          <w:p>
            <w:pPr>
              <w:tabs>
                <w:tab w:val="left" w:pos="4320"/>
              </w:tabs>
              <w:spacing w:line="360" w:lineRule="auto"/>
              <w:jc w:val="right"/>
              <w:rPr>
                <w:rFonts w:hint="eastAsia" w:ascii="仿宋" w:hAnsi="仿宋" w:eastAsia="仿宋" w:cs="Times New Roman"/>
                <w:sz w:val="24"/>
                <w:szCs w:val="24"/>
              </w:rPr>
            </w:pPr>
            <w:r>
              <w:rPr>
                <w:rFonts w:hint="eastAsia" w:ascii="仿宋" w:hAnsi="仿宋" w:eastAsia="仿宋" w:cs="Times New Roman"/>
                <w:sz w:val="24"/>
                <w:szCs w:val="24"/>
              </w:rPr>
              <w:t>万元</w:t>
            </w:r>
          </w:p>
        </w:tc>
        <w:tc>
          <w:tcPr>
            <w:tcW w:w="728" w:type="dxa"/>
            <w:vMerge w:val="continue"/>
            <w:vAlign w:val="center"/>
          </w:tcPr>
          <w:p>
            <w:pPr>
              <w:tabs>
                <w:tab w:val="left" w:pos="4320"/>
              </w:tabs>
              <w:spacing w:line="360" w:lineRule="auto"/>
              <w:rPr>
                <w:rFonts w:hint="eastAsia" w:ascii="仿宋" w:hAnsi="仿宋" w:eastAsia="仿宋" w:cs="Times New Roman"/>
                <w:sz w:val="24"/>
                <w:szCs w:val="24"/>
              </w:rPr>
            </w:pPr>
          </w:p>
        </w:tc>
        <w:tc>
          <w:tcPr>
            <w:tcW w:w="946" w:type="dxa"/>
            <w:vMerge w:val="restart"/>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主要</w:t>
            </w:r>
          </w:p>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产品</w:t>
            </w:r>
          </w:p>
        </w:tc>
        <w:tc>
          <w:tcPr>
            <w:tcW w:w="4142" w:type="dxa"/>
            <w:gridSpan w:val="5"/>
            <w:vAlign w:val="center"/>
          </w:tcPr>
          <w:p>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pPr>
              <w:tabs>
                <w:tab w:val="left" w:pos="4320"/>
              </w:tabs>
              <w:spacing w:line="360" w:lineRule="auto"/>
              <w:ind w:left="266" w:hanging="266" w:hangingChars="111"/>
              <w:rPr>
                <w:rFonts w:hint="eastAsia" w:ascii="仿宋" w:hAnsi="仿宋" w:eastAsia="仿宋" w:cs="Times New Roman"/>
                <w:sz w:val="24"/>
                <w:szCs w:val="24"/>
              </w:rPr>
            </w:pPr>
          </w:p>
        </w:tc>
        <w:tc>
          <w:tcPr>
            <w:tcW w:w="1276" w:type="dxa"/>
            <w:gridSpan w:val="2"/>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固定资产</w:t>
            </w:r>
          </w:p>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（万元）</w:t>
            </w:r>
          </w:p>
        </w:tc>
        <w:tc>
          <w:tcPr>
            <w:tcW w:w="1417" w:type="dxa"/>
            <w:gridSpan w:val="2"/>
            <w:vAlign w:val="center"/>
          </w:tcPr>
          <w:p>
            <w:pPr>
              <w:tabs>
                <w:tab w:val="left" w:pos="-48"/>
                <w:tab w:val="left" w:pos="4320"/>
              </w:tabs>
              <w:spacing w:line="360" w:lineRule="auto"/>
              <w:ind w:right="-133" w:hanging="48"/>
              <w:rPr>
                <w:rFonts w:hint="eastAsia" w:ascii="仿宋" w:hAnsi="仿宋" w:eastAsia="仿宋" w:cs="Times New Roman"/>
                <w:sz w:val="24"/>
                <w:szCs w:val="24"/>
              </w:rPr>
            </w:pPr>
            <w:r>
              <w:rPr>
                <w:rFonts w:hint="eastAsia" w:ascii="仿宋" w:hAnsi="仿宋" w:eastAsia="仿宋" w:cs="Times New Roman"/>
                <w:sz w:val="24"/>
                <w:szCs w:val="24"/>
              </w:rPr>
              <w:t>原值：</w:t>
            </w:r>
          </w:p>
          <w:p>
            <w:pPr>
              <w:tabs>
                <w:tab w:val="left" w:pos="-48"/>
                <w:tab w:val="left" w:pos="4320"/>
              </w:tabs>
              <w:spacing w:line="360" w:lineRule="auto"/>
              <w:ind w:right="-133" w:hanging="48"/>
              <w:rPr>
                <w:rFonts w:hint="eastAsia" w:ascii="仿宋" w:hAnsi="仿宋" w:eastAsia="仿宋" w:cs="Times New Roman"/>
                <w:sz w:val="24"/>
                <w:szCs w:val="24"/>
              </w:rPr>
            </w:pPr>
            <w:r>
              <w:rPr>
                <w:rFonts w:hint="eastAsia" w:ascii="仿宋" w:hAnsi="仿宋" w:eastAsia="仿宋" w:cs="Times New Roman"/>
                <w:sz w:val="24"/>
                <w:szCs w:val="24"/>
              </w:rPr>
              <w:t>净值：</w:t>
            </w:r>
          </w:p>
        </w:tc>
        <w:tc>
          <w:tcPr>
            <w:tcW w:w="728" w:type="dxa"/>
            <w:vMerge w:val="continue"/>
            <w:vAlign w:val="center"/>
          </w:tcPr>
          <w:p>
            <w:pPr>
              <w:tabs>
                <w:tab w:val="left" w:pos="4320"/>
              </w:tabs>
              <w:spacing w:line="360" w:lineRule="auto"/>
              <w:rPr>
                <w:rFonts w:hint="eastAsia" w:ascii="仿宋" w:hAnsi="仿宋" w:eastAsia="仿宋" w:cs="Times New Roman"/>
                <w:sz w:val="24"/>
                <w:szCs w:val="24"/>
              </w:rPr>
            </w:pPr>
          </w:p>
        </w:tc>
        <w:tc>
          <w:tcPr>
            <w:tcW w:w="946" w:type="dxa"/>
            <w:vMerge w:val="continue"/>
            <w:vAlign w:val="center"/>
          </w:tcPr>
          <w:p>
            <w:pPr>
              <w:tabs>
                <w:tab w:val="left" w:pos="4320"/>
              </w:tabs>
              <w:spacing w:line="360" w:lineRule="auto"/>
              <w:jc w:val="center"/>
              <w:rPr>
                <w:rFonts w:hint="eastAsia" w:ascii="仿宋" w:hAnsi="仿宋" w:eastAsia="仿宋" w:cs="Times New Roman"/>
                <w:sz w:val="24"/>
                <w:szCs w:val="24"/>
              </w:rPr>
            </w:pPr>
          </w:p>
        </w:tc>
        <w:tc>
          <w:tcPr>
            <w:tcW w:w="4142" w:type="dxa"/>
            <w:gridSpan w:val="5"/>
            <w:vAlign w:val="center"/>
          </w:tcPr>
          <w:p>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hint="eastAsia" w:ascii="仿宋" w:hAnsi="仿宋" w:eastAsia="仿宋" w:cs="Times New Roman"/>
                <w:sz w:val="24"/>
                <w:szCs w:val="24"/>
              </w:rPr>
            </w:pPr>
          </w:p>
        </w:tc>
        <w:tc>
          <w:tcPr>
            <w:tcW w:w="1276" w:type="dxa"/>
            <w:gridSpan w:val="2"/>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占地面积</w:t>
            </w:r>
          </w:p>
        </w:tc>
        <w:tc>
          <w:tcPr>
            <w:tcW w:w="1417" w:type="dxa"/>
            <w:gridSpan w:val="2"/>
            <w:vAlign w:val="center"/>
          </w:tcPr>
          <w:p>
            <w:pPr>
              <w:tabs>
                <w:tab w:val="left" w:pos="4320"/>
              </w:tabs>
              <w:spacing w:line="360" w:lineRule="auto"/>
              <w:jc w:val="right"/>
              <w:rPr>
                <w:rFonts w:hint="eastAsia" w:ascii="仿宋" w:hAnsi="仿宋" w:eastAsia="仿宋" w:cs="Times New Roman"/>
                <w:sz w:val="24"/>
                <w:szCs w:val="24"/>
              </w:rPr>
            </w:pPr>
            <w:r>
              <w:rPr>
                <w:rFonts w:hint="eastAsia" w:ascii="仿宋" w:hAnsi="仿宋" w:eastAsia="仿宋" w:cs="Times New Roman"/>
                <w:sz w:val="24"/>
                <w:szCs w:val="24"/>
              </w:rPr>
              <w:t>M</w:t>
            </w:r>
            <w:r>
              <w:rPr>
                <w:rFonts w:hint="eastAsia" w:ascii="仿宋" w:hAnsi="仿宋" w:eastAsia="仿宋" w:cs="Times New Roman"/>
                <w:sz w:val="24"/>
                <w:szCs w:val="24"/>
                <w:vertAlign w:val="superscript"/>
              </w:rPr>
              <w:t>2</w:t>
            </w:r>
          </w:p>
        </w:tc>
        <w:tc>
          <w:tcPr>
            <w:tcW w:w="728" w:type="dxa"/>
            <w:vMerge w:val="continue"/>
            <w:vAlign w:val="center"/>
          </w:tcPr>
          <w:p>
            <w:pPr>
              <w:tabs>
                <w:tab w:val="left" w:pos="4320"/>
              </w:tabs>
              <w:spacing w:line="360" w:lineRule="auto"/>
              <w:rPr>
                <w:rFonts w:hint="eastAsia" w:ascii="仿宋" w:hAnsi="仿宋" w:eastAsia="仿宋" w:cs="Times New Roman"/>
                <w:sz w:val="24"/>
                <w:szCs w:val="24"/>
              </w:rPr>
            </w:pPr>
          </w:p>
        </w:tc>
        <w:tc>
          <w:tcPr>
            <w:tcW w:w="946" w:type="dxa"/>
            <w:vMerge w:val="continue"/>
            <w:vAlign w:val="center"/>
          </w:tcPr>
          <w:p>
            <w:pPr>
              <w:tabs>
                <w:tab w:val="left" w:pos="4320"/>
              </w:tabs>
              <w:spacing w:line="360" w:lineRule="auto"/>
              <w:jc w:val="center"/>
              <w:rPr>
                <w:rFonts w:hint="eastAsia" w:ascii="仿宋" w:hAnsi="仿宋" w:eastAsia="仿宋" w:cs="Times New Roman"/>
                <w:sz w:val="24"/>
                <w:szCs w:val="24"/>
              </w:rPr>
            </w:pPr>
          </w:p>
        </w:tc>
        <w:tc>
          <w:tcPr>
            <w:tcW w:w="4142" w:type="dxa"/>
            <w:gridSpan w:val="5"/>
            <w:vAlign w:val="center"/>
          </w:tcPr>
          <w:p>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hint="eastAsia" w:ascii="仿宋" w:hAnsi="仿宋" w:eastAsia="仿宋" w:cs="Times New Roman"/>
                <w:sz w:val="24"/>
                <w:szCs w:val="24"/>
              </w:rPr>
            </w:pPr>
            <w:r>
              <w:rPr>
                <w:rFonts w:hint="eastAsia" w:ascii="仿宋" w:hAnsi="仿宋" w:eastAsia="仿宋" w:cs="Times New Roman"/>
                <w:sz w:val="24"/>
                <w:szCs w:val="24"/>
              </w:rPr>
              <w:t>本次</w:t>
            </w:r>
          </w:p>
          <w:p>
            <w:pPr>
              <w:tabs>
                <w:tab w:val="left" w:pos="4320"/>
              </w:tabs>
              <w:spacing w:line="360" w:lineRule="auto"/>
              <w:ind w:left="266" w:hanging="266" w:hangingChars="111"/>
              <w:rPr>
                <w:rFonts w:hint="eastAsia" w:ascii="仿宋" w:hAnsi="仿宋" w:eastAsia="仿宋" w:cs="Times New Roman"/>
                <w:sz w:val="24"/>
                <w:szCs w:val="24"/>
              </w:rPr>
            </w:pPr>
            <w:r>
              <w:rPr>
                <w:rFonts w:hint="eastAsia" w:ascii="仿宋" w:hAnsi="仿宋" w:eastAsia="仿宋" w:cs="Times New Roman"/>
                <w:sz w:val="24"/>
                <w:szCs w:val="24"/>
              </w:rPr>
              <w:t>投标</w:t>
            </w:r>
          </w:p>
          <w:p>
            <w:pPr>
              <w:tabs>
                <w:tab w:val="left" w:pos="4320"/>
              </w:tabs>
              <w:spacing w:line="360" w:lineRule="auto"/>
              <w:ind w:left="266" w:hanging="266" w:hangingChars="111"/>
              <w:rPr>
                <w:rFonts w:hint="eastAsia" w:ascii="仿宋" w:hAnsi="仿宋" w:eastAsia="仿宋" w:cs="Times New Roman"/>
                <w:sz w:val="24"/>
                <w:szCs w:val="24"/>
              </w:rPr>
            </w:pPr>
            <w:r>
              <w:rPr>
                <w:rFonts w:hint="eastAsia" w:ascii="仿宋" w:hAnsi="仿宋" w:eastAsia="仿宋" w:cs="Times New Roman"/>
                <w:sz w:val="24"/>
                <w:szCs w:val="24"/>
              </w:rPr>
              <w:t>产品</w:t>
            </w:r>
          </w:p>
          <w:p>
            <w:pPr>
              <w:tabs>
                <w:tab w:val="left" w:pos="4320"/>
              </w:tabs>
              <w:spacing w:line="360" w:lineRule="auto"/>
              <w:ind w:left="266" w:hanging="266" w:hangingChars="111"/>
              <w:rPr>
                <w:rFonts w:hint="eastAsia" w:ascii="仿宋" w:hAnsi="仿宋" w:eastAsia="仿宋" w:cs="Times New Roman"/>
                <w:sz w:val="24"/>
                <w:szCs w:val="24"/>
              </w:rPr>
            </w:pPr>
            <w:r>
              <w:rPr>
                <w:rFonts w:hint="eastAsia" w:ascii="仿宋" w:hAnsi="仿宋" w:eastAsia="仿宋" w:cs="Times New Roman"/>
                <w:sz w:val="24"/>
                <w:szCs w:val="24"/>
              </w:rPr>
              <w:t>情况</w:t>
            </w:r>
          </w:p>
        </w:tc>
        <w:tc>
          <w:tcPr>
            <w:tcW w:w="1643" w:type="dxa"/>
            <w:gridSpan w:val="3"/>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本次投标</w:t>
            </w:r>
            <w:r>
              <w:rPr>
                <w:rFonts w:ascii="仿宋" w:hAnsi="仿宋" w:eastAsia="仿宋" w:cs="Times New Roman"/>
                <w:sz w:val="24"/>
                <w:szCs w:val="24"/>
              </w:rPr>
              <w:br w:type="textWrapping"/>
            </w:r>
            <w:r>
              <w:rPr>
                <w:rFonts w:hint="eastAsia" w:ascii="仿宋" w:hAnsi="仿宋" w:eastAsia="仿宋" w:cs="Times New Roman"/>
                <w:sz w:val="24"/>
                <w:szCs w:val="24"/>
              </w:rPr>
              <w:t>产品名称</w:t>
            </w:r>
          </w:p>
        </w:tc>
        <w:tc>
          <w:tcPr>
            <w:tcW w:w="1778" w:type="dxa"/>
            <w:gridSpan w:val="2"/>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型    号</w:t>
            </w:r>
          </w:p>
        </w:tc>
        <w:tc>
          <w:tcPr>
            <w:tcW w:w="946" w:type="dxa"/>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上年</w:t>
            </w:r>
            <w:r>
              <w:rPr>
                <w:rFonts w:ascii="仿宋" w:hAnsi="仿宋" w:eastAsia="仿宋" w:cs="Times New Roman"/>
                <w:sz w:val="24"/>
                <w:szCs w:val="24"/>
              </w:rPr>
              <w:br w:type="textWrapping"/>
            </w:r>
            <w:r>
              <w:rPr>
                <w:rFonts w:hint="eastAsia" w:ascii="仿宋" w:hAnsi="仿宋" w:eastAsia="仿宋" w:cs="Times New Roman"/>
                <w:sz w:val="24"/>
                <w:szCs w:val="24"/>
              </w:rPr>
              <w:t>产销量</w:t>
            </w:r>
          </w:p>
        </w:tc>
        <w:tc>
          <w:tcPr>
            <w:tcW w:w="1263" w:type="dxa"/>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产品技术</w:t>
            </w:r>
          </w:p>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先进水平</w:t>
            </w:r>
          </w:p>
        </w:tc>
        <w:tc>
          <w:tcPr>
            <w:tcW w:w="1273" w:type="dxa"/>
            <w:gridSpan w:val="2"/>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曾获何级</w:t>
            </w:r>
          </w:p>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何种奖励</w:t>
            </w:r>
          </w:p>
        </w:tc>
        <w:tc>
          <w:tcPr>
            <w:tcW w:w="1606" w:type="dxa"/>
            <w:gridSpan w:val="2"/>
            <w:vAlign w:val="center"/>
          </w:tcPr>
          <w:p>
            <w:pPr>
              <w:tabs>
                <w:tab w:val="left" w:pos="4320"/>
              </w:tabs>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主要用户</w:t>
            </w:r>
            <w:r>
              <w:rPr>
                <w:rFonts w:ascii="仿宋" w:hAnsi="仿宋" w:eastAsia="仿宋" w:cs="Times New Roman"/>
                <w:sz w:val="24"/>
                <w:szCs w:val="24"/>
              </w:rPr>
              <w:br w:type="textWrapping"/>
            </w:r>
            <w:r>
              <w:rPr>
                <w:rFonts w:hint="eastAsia" w:ascii="仿宋" w:hAnsi="仿宋" w:eastAsia="仿宋" w:cs="Times New Roman"/>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hint="eastAsia" w:ascii="仿宋" w:hAnsi="仿宋" w:eastAsia="仿宋" w:cs="Times New Roman"/>
                <w:sz w:val="24"/>
                <w:szCs w:val="24"/>
              </w:rPr>
            </w:pPr>
          </w:p>
        </w:tc>
        <w:tc>
          <w:tcPr>
            <w:tcW w:w="1643" w:type="dxa"/>
            <w:gridSpan w:val="3"/>
            <w:vAlign w:val="center"/>
          </w:tcPr>
          <w:p>
            <w:pPr>
              <w:tabs>
                <w:tab w:val="left" w:pos="4320"/>
              </w:tabs>
              <w:spacing w:line="360" w:lineRule="auto"/>
              <w:rPr>
                <w:rFonts w:hint="eastAsia" w:ascii="仿宋" w:hAnsi="仿宋" w:eastAsia="仿宋" w:cs="Times New Roman"/>
                <w:sz w:val="24"/>
                <w:szCs w:val="24"/>
              </w:rPr>
            </w:pPr>
          </w:p>
        </w:tc>
        <w:tc>
          <w:tcPr>
            <w:tcW w:w="1778" w:type="dxa"/>
            <w:gridSpan w:val="2"/>
            <w:vAlign w:val="center"/>
          </w:tcPr>
          <w:p>
            <w:pPr>
              <w:tabs>
                <w:tab w:val="left" w:pos="4320"/>
              </w:tabs>
              <w:spacing w:line="360" w:lineRule="auto"/>
              <w:rPr>
                <w:rFonts w:hint="eastAsia" w:ascii="仿宋" w:hAnsi="仿宋" w:eastAsia="仿宋" w:cs="Times New Roman"/>
                <w:sz w:val="24"/>
                <w:szCs w:val="24"/>
              </w:rPr>
            </w:pPr>
          </w:p>
        </w:tc>
        <w:tc>
          <w:tcPr>
            <w:tcW w:w="946" w:type="dxa"/>
            <w:vAlign w:val="center"/>
          </w:tcPr>
          <w:p>
            <w:pPr>
              <w:tabs>
                <w:tab w:val="left" w:pos="4320"/>
              </w:tabs>
              <w:spacing w:line="360" w:lineRule="auto"/>
              <w:rPr>
                <w:rFonts w:hint="eastAsia" w:ascii="仿宋" w:hAnsi="仿宋" w:eastAsia="仿宋" w:cs="Times New Roman"/>
                <w:sz w:val="24"/>
                <w:szCs w:val="24"/>
              </w:rPr>
            </w:pPr>
          </w:p>
        </w:tc>
        <w:tc>
          <w:tcPr>
            <w:tcW w:w="1263" w:type="dxa"/>
            <w:vAlign w:val="center"/>
          </w:tcPr>
          <w:p>
            <w:pPr>
              <w:tabs>
                <w:tab w:val="left" w:pos="4320"/>
              </w:tabs>
              <w:spacing w:line="360" w:lineRule="auto"/>
              <w:rPr>
                <w:rFonts w:hint="eastAsia" w:ascii="仿宋" w:hAnsi="仿宋" w:eastAsia="仿宋" w:cs="Times New Roman"/>
                <w:sz w:val="24"/>
                <w:szCs w:val="24"/>
              </w:rPr>
            </w:pPr>
          </w:p>
        </w:tc>
        <w:tc>
          <w:tcPr>
            <w:tcW w:w="1273" w:type="dxa"/>
            <w:gridSpan w:val="2"/>
            <w:vAlign w:val="center"/>
          </w:tcPr>
          <w:p>
            <w:pPr>
              <w:tabs>
                <w:tab w:val="left" w:pos="4320"/>
              </w:tabs>
              <w:spacing w:line="360" w:lineRule="auto"/>
              <w:rPr>
                <w:rFonts w:hint="eastAsia" w:ascii="仿宋" w:hAnsi="仿宋" w:eastAsia="仿宋" w:cs="Times New Roman"/>
                <w:sz w:val="24"/>
                <w:szCs w:val="24"/>
              </w:rPr>
            </w:pPr>
          </w:p>
        </w:tc>
        <w:tc>
          <w:tcPr>
            <w:tcW w:w="1606" w:type="dxa"/>
            <w:gridSpan w:val="2"/>
            <w:vAlign w:val="center"/>
          </w:tcPr>
          <w:p>
            <w:pPr>
              <w:tabs>
                <w:tab w:val="left" w:pos="4320"/>
              </w:tabs>
              <w:spacing w:line="360" w:lineRule="auto"/>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hint="eastAsia" w:ascii="仿宋" w:hAnsi="仿宋" w:eastAsia="仿宋" w:cs="Times New Roman"/>
                <w:sz w:val="24"/>
                <w:szCs w:val="24"/>
              </w:rPr>
            </w:pPr>
          </w:p>
        </w:tc>
        <w:tc>
          <w:tcPr>
            <w:tcW w:w="1643" w:type="dxa"/>
            <w:gridSpan w:val="3"/>
            <w:vAlign w:val="center"/>
          </w:tcPr>
          <w:p>
            <w:pPr>
              <w:tabs>
                <w:tab w:val="left" w:pos="4320"/>
              </w:tabs>
              <w:spacing w:line="360" w:lineRule="auto"/>
              <w:rPr>
                <w:rFonts w:hint="eastAsia" w:ascii="仿宋" w:hAnsi="仿宋" w:eastAsia="仿宋" w:cs="Times New Roman"/>
                <w:sz w:val="24"/>
                <w:szCs w:val="24"/>
              </w:rPr>
            </w:pPr>
          </w:p>
        </w:tc>
        <w:tc>
          <w:tcPr>
            <w:tcW w:w="1778" w:type="dxa"/>
            <w:gridSpan w:val="2"/>
            <w:vAlign w:val="center"/>
          </w:tcPr>
          <w:p>
            <w:pPr>
              <w:tabs>
                <w:tab w:val="left" w:pos="4320"/>
              </w:tabs>
              <w:spacing w:line="360" w:lineRule="auto"/>
              <w:rPr>
                <w:rFonts w:hint="eastAsia" w:ascii="仿宋" w:hAnsi="仿宋" w:eastAsia="仿宋" w:cs="Times New Roman"/>
                <w:sz w:val="24"/>
                <w:szCs w:val="24"/>
              </w:rPr>
            </w:pPr>
          </w:p>
        </w:tc>
        <w:tc>
          <w:tcPr>
            <w:tcW w:w="946" w:type="dxa"/>
            <w:vAlign w:val="center"/>
          </w:tcPr>
          <w:p>
            <w:pPr>
              <w:tabs>
                <w:tab w:val="left" w:pos="4320"/>
              </w:tabs>
              <w:spacing w:line="360" w:lineRule="auto"/>
              <w:rPr>
                <w:rFonts w:hint="eastAsia" w:ascii="仿宋" w:hAnsi="仿宋" w:eastAsia="仿宋" w:cs="Times New Roman"/>
                <w:sz w:val="24"/>
                <w:szCs w:val="24"/>
              </w:rPr>
            </w:pPr>
          </w:p>
        </w:tc>
        <w:tc>
          <w:tcPr>
            <w:tcW w:w="1263" w:type="dxa"/>
            <w:vAlign w:val="center"/>
          </w:tcPr>
          <w:p>
            <w:pPr>
              <w:tabs>
                <w:tab w:val="left" w:pos="4320"/>
              </w:tabs>
              <w:spacing w:line="360" w:lineRule="auto"/>
              <w:rPr>
                <w:rFonts w:hint="eastAsia" w:ascii="仿宋" w:hAnsi="仿宋" w:eastAsia="仿宋" w:cs="Times New Roman"/>
                <w:sz w:val="24"/>
                <w:szCs w:val="24"/>
              </w:rPr>
            </w:pPr>
          </w:p>
        </w:tc>
        <w:tc>
          <w:tcPr>
            <w:tcW w:w="1273" w:type="dxa"/>
            <w:gridSpan w:val="2"/>
            <w:vAlign w:val="center"/>
          </w:tcPr>
          <w:p>
            <w:pPr>
              <w:tabs>
                <w:tab w:val="left" w:pos="4320"/>
              </w:tabs>
              <w:spacing w:line="360" w:lineRule="auto"/>
              <w:rPr>
                <w:rFonts w:hint="eastAsia" w:ascii="仿宋" w:hAnsi="仿宋" w:eastAsia="仿宋" w:cs="Times New Roman"/>
                <w:sz w:val="24"/>
                <w:szCs w:val="24"/>
              </w:rPr>
            </w:pPr>
          </w:p>
        </w:tc>
        <w:tc>
          <w:tcPr>
            <w:tcW w:w="1606" w:type="dxa"/>
            <w:gridSpan w:val="2"/>
            <w:vAlign w:val="center"/>
          </w:tcPr>
          <w:p>
            <w:pPr>
              <w:tabs>
                <w:tab w:val="left" w:pos="4320"/>
              </w:tabs>
              <w:spacing w:line="360" w:lineRule="auto"/>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hint="eastAsia" w:ascii="仿宋" w:hAnsi="仿宋" w:eastAsia="仿宋" w:cs="Times New Roman"/>
                <w:sz w:val="24"/>
                <w:szCs w:val="24"/>
              </w:rPr>
            </w:pPr>
          </w:p>
        </w:tc>
        <w:tc>
          <w:tcPr>
            <w:tcW w:w="1643" w:type="dxa"/>
            <w:gridSpan w:val="3"/>
            <w:vAlign w:val="center"/>
          </w:tcPr>
          <w:p>
            <w:pPr>
              <w:tabs>
                <w:tab w:val="left" w:pos="4320"/>
              </w:tabs>
              <w:spacing w:line="360" w:lineRule="auto"/>
              <w:rPr>
                <w:rFonts w:hint="eastAsia" w:ascii="仿宋" w:hAnsi="仿宋" w:eastAsia="仿宋" w:cs="Times New Roman"/>
                <w:sz w:val="24"/>
                <w:szCs w:val="24"/>
              </w:rPr>
            </w:pPr>
          </w:p>
        </w:tc>
        <w:tc>
          <w:tcPr>
            <w:tcW w:w="1778" w:type="dxa"/>
            <w:gridSpan w:val="2"/>
            <w:vAlign w:val="center"/>
          </w:tcPr>
          <w:p>
            <w:pPr>
              <w:tabs>
                <w:tab w:val="left" w:pos="4320"/>
              </w:tabs>
              <w:spacing w:line="360" w:lineRule="auto"/>
              <w:rPr>
                <w:rFonts w:hint="eastAsia" w:ascii="仿宋" w:hAnsi="仿宋" w:eastAsia="仿宋" w:cs="Times New Roman"/>
                <w:sz w:val="24"/>
                <w:szCs w:val="24"/>
              </w:rPr>
            </w:pPr>
          </w:p>
        </w:tc>
        <w:tc>
          <w:tcPr>
            <w:tcW w:w="946" w:type="dxa"/>
            <w:vAlign w:val="center"/>
          </w:tcPr>
          <w:p>
            <w:pPr>
              <w:tabs>
                <w:tab w:val="left" w:pos="4320"/>
              </w:tabs>
              <w:spacing w:line="360" w:lineRule="auto"/>
              <w:rPr>
                <w:rFonts w:hint="eastAsia" w:ascii="仿宋" w:hAnsi="仿宋" w:eastAsia="仿宋" w:cs="Times New Roman"/>
                <w:sz w:val="24"/>
                <w:szCs w:val="24"/>
              </w:rPr>
            </w:pPr>
          </w:p>
        </w:tc>
        <w:tc>
          <w:tcPr>
            <w:tcW w:w="1263" w:type="dxa"/>
            <w:vAlign w:val="center"/>
          </w:tcPr>
          <w:p>
            <w:pPr>
              <w:tabs>
                <w:tab w:val="left" w:pos="4320"/>
              </w:tabs>
              <w:spacing w:line="360" w:lineRule="auto"/>
              <w:rPr>
                <w:rFonts w:hint="eastAsia" w:ascii="仿宋" w:hAnsi="仿宋" w:eastAsia="仿宋" w:cs="Times New Roman"/>
                <w:sz w:val="24"/>
                <w:szCs w:val="24"/>
              </w:rPr>
            </w:pPr>
          </w:p>
        </w:tc>
        <w:tc>
          <w:tcPr>
            <w:tcW w:w="1273" w:type="dxa"/>
            <w:gridSpan w:val="2"/>
            <w:vAlign w:val="center"/>
          </w:tcPr>
          <w:p>
            <w:pPr>
              <w:tabs>
                <w:tab w:val="left" w:pos="4320"/>
              </w:tabs>
              <w:spacing w:line="360" w:lineRule="auto"/>
              <w:rPr>
                <w:rFonts w:hint="eastAsia" w:ascii="仿宋" w:hAnsi="仿宋" w:eastAsia="仿宋" w:cs="Times New Roman"/>
                <w:sz w:val="24"/>
                <w:szCs w:val="24"/>
              </w:rPr>
            </w:pPr>
          </w:p>
        </w:tc>
        <w:tc>
          <w:tcPr>
            <w:tcW w:w="1606" w:type="dxa"/>
            <w:gridSpan w:val="2"/>
            <w:vAlign w:val="center"/>
          </w:tcPr>
          <w:p>
            <w:pPr>
              <w:tabs>
                <w:tab w:val="left" w:pos="4320"/>
              </w:tabs>
              <w:spacing w:line="360" w:lineRule="auto"/>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hint="eastAsia" w:ascii="仿宋" w:hAnsi="仿宋" w:eastAsia="仿宋" w:cs="Times New Roman"/>
                <w:sz w:val="24"/>
                <w:szCs w:val="24"/>
              </w:rPr>
            </w:pPr>
          </w:p>
        </w:tc>
        <w:tc>
          <w:tcPr>
            <w:tcW w:w="1643" w:type="dxa"/>
            <w:gridSpan w:val="3"/>
            <w:vAlign w:val="center"/>
          </w:tcPr>
          <w:p>
            <w:pPr>
              <w:tabs>
                <w:tab w:val="left" w:pos="4320"/>
              </w:tabs>
              <w:spacing w:line="360" w:lineRule="auto"/>
              <w:rPr>
                <w:rFonts w:hint="eastAsia" w:ascii="仿宋" w:hAnsi="仿宋" w:eastAsia="仿宋" w:cs="Times New Roman"/>
                <w:sz w:val="24"/>
                <w:szCs w:val="24"/>
              </w:rPr>
            </w:pPr>
          </w:p>
        </w:tc>
        <w:tc>
          <w:tcPr>
            <w:tcW w:w="1778" w:type="dxa"/>
            <w:gridSpan w:val="2"/>
            <w:vAlign w:val="center"/>
          </w:tcPr>
          <w:p>
            <w:pPr>
              <w:tabs>
                <w:tab w:val="left" w:pos="4320"/>
              </w:tabs>
              <w:spacing w:line="360" w:lineRule="auto"/>
              <w:rPr>
                <w:rFonts w:hint="eastAsia" w:ascii="仿宋" w:hAnsi="仿宋" w:eastAsia="仿宋" w:cs="Times New Roman"/>
                <w:sz w:val="24"/>
                <w:szCs w:val="24"/>
              </w:rPr>
            </w:pPr>
          </w:p>
        </w:tc>
        <w:tc>
          <w:tcPr>
            <w:tcW w:w="946" w:type="dxa"/>
            <w:vAlign w:val="center"/>
          </w:tcPr>
          <w:p>
            <w:pPr>
              <w:tabs>
                <w:tab w:val="left" w:pos="4320"/>
              </w:tabs>
              <w:spacing w:line="360" w:lineRule="auto"/>
              <w:rPr>
                <w:rFonts w:hint="eastAsia" w:ascii="仿宋" w:hAnsi="仿宋" w:eastAsia="仿宋" w:cs="Times New Roman"/>
                <w:sz w:val="24"/>
                <w:szCs w:val="24"/>
              </w:rPr>
            </w:pPr>
          </w:p>
        </w:tc>
        <w:tc>
          <w:tcPr>
            <w:tcW w:w="1263" w:type="dxa"/>
            <w:vAlign w:val="center"/>
          </w:tcPr>
          <w:p>
            <w:pPr>
              <w:tabs>
                <w:tab w:val="left" w:pos="4320"/>
              </w:tabs>
              <w:spacing w:line="360" w:lineRule="auto"/>
              <w:rPr>
                <w:rFonts w:hint="eastAsia" w:ascii="仿宋" w:hAnsi="仿宋" w:eastAsia="仿宋" w:cs="Times New Roman"/>
                <w:sz w:val="24"/>
                <w:szCs w:val="24"/>
              </w:rPr>
            </w:pPr>
          </w:p>
        </w:tc>
        <w:tc>
          <w:tcPr>
            <w:tcW w:w="1273" w:type="dxa"/>
            <w:gridSpan w:val="2"/>
            <w:vAlign w:val="center"/>
          </w:tcPr>
          <w:p>
            <w:pPr>
              <w:tabs>
                <w:tab w:val="left" w:pos="4320"/>
              </w:tabs>
              <w:spacing w:line="360" w:lineRule="auto"/>
              <w:rPr>
                <w:rFonts w:hint="eastAsia" w:ascii="仿宋" w:hAnsi="仿宋" w:eastAsia="仿宋" w:cs="Times New Roman"/>
                <w:sz w:val="24"/>
                <w:szCs w:val="24"/>
              </w:rPr>
            </w:pPr>
          </w:p>
        </w:tc>
        <w:tc>
          <w:tcPr>
            <w:tcW w:w="1606" w:type="dxa"/>
            <w:gridSpan w:val="2"/>
            <w:vAlign w:val="center"/>
          </w:tcPr>
          <w:p>
            <w:pPr>
              <w:tabs>
                <w:tab w:val="left" w:pos="4320"/>
              </w:tabs>
              <w:spacing w:line="360" w:lineRule="auto"/>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其它</w:t>
            </w:r>
          </w:p>
        </w:tc>
        <w:tc>
          <w:tcPr>
            <w:tcW w:w="4374" w:type="dxa"/>
            <w:gridSpan w:val="6"/>
            <w:vAlign w:val="center"/>
          </w:tcPr>
          <w:p>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w:t>
            </w:r>
            <w:r>
              <w:rPr>
                <w:rFonts w:hint="eastAsia" w:ascii="仿宋" w:hAnsi="仿宋" w:eastAsia="仿宋" w:cs="仿宋"/>
                <w:sz w:val="24"/>
                <w:szCs w:val="24"/>
              </w:rPr>
              <w:t>比选</w:t>
            </w:r>
            <w:r>
              <w:rPr>
                <w:rFonts w:hint="eastAsia" w:ascii="仿宋" w:hAnsi="仿宋" w:eastAsia="仿宋" w:cs="Times New Roman"/>
                <w:sz w:val="24"/>
                <w:szCs w:val="24"/>
              </w:rPr>
              <w:t>资格将被取消）。</w:t>
            </w:r>
          </w:p>
        </w:tc>
        <w:tc>
          <w:tcPr>
            <w:tcW w:w="4142" w:type="dxa"/>
            <w:gridSpan w:val="5"/>
            <w:vAlign w:val="center"/>
          </w:tcPr>
          <w:p>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pPr>
              <w:tabs>
                <w:tab w:val="left" w:pos="4320"/>
              </w:tabs>
              <w:spacing w:line="360" w:lineRule="auto"/>
              <w:rPr>
                <w:rFonts w:hint="eastAsia" w:ascii="仿宋" w:hAnsi="仿宋" w:eastAsia="仿宋" w:cs="Times New Roman"/>
                <w:sz w:val="24"/>
                <w:szCs w:val="24"/>
              </w:rPr>
            </w:pPr>
          </w:p>
        </w:tc>
        <w:tc>
          <w:tcPr>
            <w:tcW w:w="4374" w:type="dxa"/>
            <w:gridSpan w:val="6"/>
            <w:vAlign w:val="center"/>
          </w:tcPr>
          <w:p>
            <w:pPr>
              <w:tabs>
                <w:tab w:val="left" w:pos="4320"/>
              </w:tabs>
              <w:spacing w:line="360" w:lineRule="auto"/>
              <w:rPr>
                <w:rFonts w:hint="eastAsia" w:ascii="仿宋" w:hAnsi="仿宋" w:eastAsia="仿宋" w:cs="Times New Roman"/>
                <w:sz w:val="24"/>
                <w:szCs w:val="24"/>
              </w:rPr>
            </w:pPr>
          </w:p>
        </w:tc>
        <w:tc>
          <w:tcPr>
            <w:tcW w:w="4142" w:type="dxa"/>
            <w:gridSpan w:val="5"/>
            <w:vAlign w:val="center"/>
          </w:tcPr>
          <w:p>
            <w:pPr>
              <w:tabs>
                <w:tab w:val="left" w:pos="4320"/>
              </w:tabs>
              <w:spacing w:line="360" w:lineRule="auto"/>
              <w:rPr>
                <w:rFonts w:hint="eastAsia" w:ascii="仿宋" w:hAnsi="仿宋" w:eastAsia="仿宋" w:cs="Times New Roman"/>
                <w:sz w:val="24"/>
                <w:szCs w:val="24"/>
              </w:rPr>
            </w:pPr>
          </w:p>
        </w:tc>
      </w:tr>
    </w:tbl>
    <w:p>
      <w:pPr>
        <w:snapToGrid w:val="0"/>
        <w:spacing w:line="360" w:lineRule="auto"/>
        <w:contextualSpacing/>
        <w:rPr>
          <w:rFonts w:hint="eastAsia" w:ascii="仿宋" w:hAnsi="仿宋" w:eastAsia="仿宋" w:cs="Times New Roman"/>
          <w:kern w:val="0"/>
          <w:sz w:val="24"/>
          <w:szCs w:val="24"/>
        </w:rPr>
      </w:pPr>
    </w:p>
    <w:p>
      <w:pPr>
        <w:widowControl/>
        <w:spacing w:line="360" w:lineRule="auto"/>
        <w:jc w:val="left"/>
        <w:rPr>
          <w:rFonts w:hint="eastAsia"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hint="eastAsia" w:ascii="仿宋" w:hAnsi="仿宋" w:eastAsia="仿宋" w:cs="Times New Roman"/>
          <w:kern w:val="0"/>
          <w:sz w:val="24"/>
          <w:szCs w:val="24"/>
        </w:rPr>
      </w:pPr>
      <w:r>
        <w:rPr>
          <w:rFonts w:ascii="仿宋" w:hAnsi="仿宋" w:eastAsia="仿宋" w:cs="Times New Roman"/>
          <w:kern w:val="0"/>
          <w:sz w:val="24"/>
          <w:szCs w:val="24"/>
        </w:rPr>
        <w:t>附件5</w:t>
      </w:r>
    </w:p>
    <w:p>
      <w:pPr>
        <w:snapToGrid w:val="0"/>
        <w:spacing w:line="360" w:lineRule="auto"/>
        <w:contextualSpacing/>
        <w:jc w:val="center"/>
        <w:rPr>
          <w:rFonts w:hint="eastAsia" w:ascii="仿宋" w:hAnsi="仿宋" w:eastAsia="仿宋" w:cs="Times New Roman"/>
          <w:b/>
          <w:sz w:val="24"/>
          <w:szCs w:val="24"/>
        </w:rPr>
      </w:pPr>
      <w:r>
        <w:rPr>
          <w:rFonts w:hint="eastAsia" w:ascii="仿宋" w:hAnsi="仿宋" w:eastAsia="仿宋" w:cs="Times New Roman"/>
          <w:b/>
          <w:sz w:val="24"/>
          <w:szCs w:val="24"/>
        </w:rPr>
        <w:t>商务部分正负偏离表</w:t>
      </w:r>
    </w:p>
    <w:p>
      <w:pPr>
        <w:spacing w:line="360" w:lineRule="auto"/>
        <w:ind w:firstLine="480" w:firstLineChars="200"/>
        <w:jc w:val="center"/>
        <w:rPr>
          <w:rFonts w:hint="eastAsia" w:ascii="仿宋" w:hAnsi="仿宋" w:eastAsia="仿宋" w:cs="Times New Roman"/>
          <w:sz w:val="24"/>
          <w:szCs w:val="24"/>
        </w:rPr>
      </w:pPr>
      <w:r>
        <w:rPr>
          <w:rFonts w:hint="eastAsia" w:ascii="仿宋" w:hAnsi="仿宋" w:eastAsia="仿宋" w:cs="Times New Roman"/>
          <w:sz w:val="24"/>
          <w:szCs w:val="24"/>
        </w:rPr>
        <w:t>（由供应商据实填写，表格不够自行添加）</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序号</w:t>
            </w:r>
          </w:p>
        </w:tc>
        <w:tc>
          <w:tcPr>
            <w:tcW w:w="1254"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货物或服务名称</w:t>
            </w:r>
          </w:p>
        </w:tc>
        <w:tc>
          <w:tcPr>
            <w:tcW w:w="1095"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比选文件要求的商务条款</w:t>
            </w:r>
          </w:p>
        </w:tc>
        <w:tc>
          <w:tcPr>
            <w:tcW w:w="1413"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响应文件响应情况</w:t>
            </w:r>
          </w:p>
        </w:tc>
        <w:tc>
          <w:tcPr>
            <w:tcW w:w="778" w:type="pct"/>
          </w:tcPr>
          <w:p>
            <w:pPr>
              <w:spacing w:line="360" w:lineRule="auto"/>
              <w:jc w:val="center"/>
              <w:rPr>
                <w:rFonts w:hint="eastAsia" w:ascii="仿宋" w:hAnsi="仿宋" w:eastAsia="仿宋" w:cs="Times New Roman"/>
                <w:sz w:val="24"/>
                <w:szCs w:val="24"/>
              </w:rPr>
            </w:pPr>
          </w:p>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1254" w:type="pct"/>
            <w:vAlign w:val="center"/>
          </w:tcPr>
          <w:p>
            <w:pPr>
              <w:spacing w:line="360" w:lineRule="auto"/>
              <w:jc w:val="left"/>
              <w:rPr>
                <w:rFonts w:hint="eastAsia" w:ascii="仿宋" w:hAnsi="仿宋" w:eastAsia="仿宋" w:cs="Times New Roman"/>
                <w:sz w:val="24"/>
                <w:szCs w:val="24"/>
              </w:rPr>
            </w:pPr>
          </w:p>
        </w:tc>
        <w:tc>
          <w:tcPr>
            <w:tcW w:w="1095" w:type="pct"/>
            <w:vAlign w:val="center"/>
          </w:tcPr>
          <w:p>
            <w:pPr>
              <w:spacing w:line="360" w:lineRule="auto"/>
              <w:jc w:val="left"/>
              <w:rPr>
                <w:rFonts w:hint="eastAsia" w:ascii="仿宋" w:hAnsi="仿宋" w:eastAsia="仿宋" w:cs="Times New Roman"/>
                <w:sz w:val="24"/>
                <w:szCs w:val="24"/>
              </w:rPr>
            </w:pPr>
          </w:p>
        </w:tc>
        <w:tc>
          <w:tcPr>
            <w:tcW w:w="1413" w:type="pct"/>
            <w:vAlign w:val="center"/>
          </w:tcPr>
          <w:p>
            <w:pPr>
              <w:spacing w:line="360" w:lineRule="auto"/>
              <w:jc w:val="left"/>
              <w:rPr>
                <w:rFonts w:hint="eastAsia" w:ascii="仿宋" w:hAnsi="仿宋" w:eastAsia="仿宋" w:cs="Times New Roman"/>
                <w:sz w:val="24"/>
                <w:szCs w:val="24"/>
              </w:rPr>
            </w:pPr>
          </w:p>
        </w:tc>
        <w:tc>
          <w:tcPr>
            <w:tcW w:w="778" w:type="pct"/>
          </w:tcPr>
          <w:p>
            <w:pPr>
              <w:spacing w:line="360" w:lineRule="auto"/>
              <w:jc w:val="left"/>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1254" w:type="pct"/>
            <w:vAlign w:val="center"/>
          </w:tcPr>
          <w:p>
            <w:pPr>
              <w:spacing w:line="360" w:lineRule="auto"/>
              <w:jc w:val="left"/>
              <w:rPr>
                <w:rFonts w:hint="eastAsia" w:ascii="仿宋" w:hAnsi="仿宋" w:eastAsia="仿宋" w:cs="Times New Roman"/>
                <w:sz w:val="24"/>
                <w:szCs w:val="24"/>
              </w:rPr>
            </w:pPr>
          </w:p>
        </w:tc>
        <w:tc>
          <w:tcPr>
            <w:tcW w:w="1095" w:type="pct"/>
            <w:vAlign w:val="center"/>
          </w:tcPr>
          <w:p>
            <w:pPr>
              <w:spacing w:line="360" w:lineRule="auto"/>
              <w:jc w:val="left"/>
              <w:rPr>
                <w:rFonts w:hint="eastAsia" w:ascii="仿宋" w:hAnsi="仿宋" w:eastAsia="仿宋" w:cs="Times New Roman"/>
                <w:sz w:val="24"/>
                <w:szCs w:val="24"/>
              </w:rPr>
            </w:pPr>
          </w:p>
        </w:tc>
        <w:tc>
          <w:tcPr>
            <w:tcW w:w="1413" w:type="pct"/>
            <w:vAlign w:val="center"/>
          </w:tcPr>
          <w:p>
            <w:pPr>
              <w:spacing w:line="360" w:lineRule="auto"/>
              <w:jc w:val="left"/>
              <w:rPr>
                <w:rFonts w:hint="eastAsia" w:ascii="仿宋" w:hAnsi="仿宋" w:eastAsia="仿宋" w:cs="Times New Roman"/>
                <w:sz w:val="24"/>
                <w:szCs w:val="24"/>
              </w:rPr>
            </w:pPr>
          </w:p>
        </w:tc>
        <w:tc>
          <w:tcPr>
            <w:tcW w:w="778" w:type="pct"/>
          </w:tcPr>
          <w:p>
            <w:pPr>
              <w:spacing w:line="360" w:lineRule="auto"/>
              <w:jc w:val="left"/>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1254" w:type="pct"/>
            <w:vAlign w:val="center"/>
          </w:tcPr>
          <w:p>
            <w:pPr>
              <w:spacing w:line="360" w:lineRule="auto"/>
              <w:jc w:val="left"/>
              <w:rPr>
                <w:rFonts w:hint="eastAsia" w:ascii="仿宋" w:hAnsi="仿宋" w:eastAsia="仿宋" w:cs="Times New Roman"/>
                <w:sz w:val="24"/>
                <w:szCs w:val="24"/>
              </w:rPr>
            </w:pPr>
          </w:p>
        </w:tc>
        <w:tc>
          <w:tcPr>
            <w:tcW w:w="1095" w:type="pct"/>
            <w:vAlign w:val="center"/>
          </w:tcPr>
          <w:p>
            <w:pPr>
              <w:spacing w:line="360" w:lineRule="auto"/>
              <w:jc w:val="left"/>
              <w:rPr>
                <w:rFonts w:hint="eastAsia" w:ascii="仿宋" w:hAnsi="仿宋" w:eastAsia="仿宋" w:cs="Times New Roman"/>
                <w:sz w:val="24"/>
                <w:szCs w:val="24"/>
              </w:rPr>
            </w:pPr>
          </w:p>
        </w:tc>
        <w:tc>
          <w:tcPr>
            <w:tcW w:w="1413" w:type="pct"/>
            <w:vAlign w:val="center"/>
          </w:tcPr>
          <w:p>
            <w:pPr>
              <w:spacing w:line="360" w:lineRule="auto"/>
              <w:jc w:val="left"/>
              <w:rPr>
                <w:rFonts w:hint="eastAsia" w:ascii="仿宋" w:hAnsi="仿宋" w:eastAsia="仿宋" w:cs="Times New Roman"/>
                <w:sz w:val="24"/>
                <w:szCs w:val="24"/>
              </w:rPr>
            </w:pPr>
          </w:p>
        </w:tc>
        <w:tc>
          <w:tcPr>
            <w:tcW w:w="778" w:type="pct"/>
          </w:tcPr>
          <w:p>
            <w:pPr>
              <w:spacing w:line="360" w:lineRule="auto"/>
              <w:jc w:val="left"/>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4</w:t>
            </w:r>
          </w:p>
        </w:tc>
        <w:tc>
          <w:tcPr>
            <w:tcW w:w="1254" w:type="pct"/>
            <w:vAlign w:val="center"/>
          </w:tcPr>
          <w:p>
            <w:pPr>
              <w:spacing w:line="360" w:lineRule="auto"/>
              <w:jc w:val="left"/>
              <w:rPr>
                <w:rFonts w:hint="eastAsia" w:ascii="仿宋" w:hAnsi="仿宋" w:eastAsia="仿宋" w:cs="Times New Roman"/>
                <w:sz w:val="24"/>
                <w:szCs w:val="24"/>
              </w:rPr>
            </w:pPr>
          </w:p>
        </w:tc>
        <w:tc>
          <w:tcPr>
            <w:tcW w:w="1095" w:type="pct"/>
            <w:vAlign w:val="center"/>
          </w:tcPr>
          <w:p>
            <w:pPr>
              <w:spacing w:line="360" w:lineRule="auto"/>
              <w:jc w:val="left"/>
              <w:rPr>
                <w:rFonts w:hint="eastAsia" w:ascii="仿宋" w:hAnsi="仿宋" w:eastAsia="仿宋" w:cs="Times New Roman"/>
                <w:sz w:val="24"/>
                <w:szCs w:val="24"/>
              </w:rPr>
            </w:pPr>
          </w:p>
        </w:tc>
        <w:tc>
          <w:tcPr>
            <w:tcW w:w="1413" w:type="pct"/>
            <w:vAlign w:val="center"/>
          </w:tcPr>
          <w:p>
            <w:pPr>
              <w:spacing w:line="360" w:lineRule="auto"/>
              <w:jc w:val="left"/>
              <w:rPr>
                <w:rFonts w:hint="eastAsia" w:ascii="仿宋" w:hAnsi="仿宋" w:eastAsia="仿宋" w:cs="Times New Roman"/>
                <w:sz w:val="24"/>
                <w:szCs w:val="24"/>
              </w:rPr>
            </w:pPr>
          </w:p>
        </w:tc>
        <w:tc>
          <w:tcPr>
            <w:tcW w:w="778" w:type="pct"/>
          </w:tcPr>
          <w:p>
            <w:pPr>
              <w:spacing w:line="360" w:lineRule="auto"/>
              <w:jc w:val="left"/>
              <w:rPr>
                <w:rFonts w:hint="eastAsia" w:ascii="仿宋" w:hAnsi="仿宋" w:eastAsia="仿宋" w:cs="Times New Roman"/>
                <w:sz w:val="24"/>
                <w:szCs w:val="24"/>
              </w:rPr>
            </w:pPr>
          </w:p>
        </w:tc>
      </w:tr>
    </w:tbl>
    <w:p>
      <w:pPr>
        <w:snapToGrid w:val="0"/>
        <w:spacing w:line="360" w:lineRule="auto"/>
        <w:contextualSpacing/>
        <w:rPr>
          <w:rFonts w:hint="eastAsia" w:ascii="仿宋" w:hAnsi="仿宋" w:eastAsia="仿宋" w:cs="Times New Roman"/>
          <w:b/>
          <w:sz w:val="24"/>
          <w:szCs w:val="24"/>
        </w:rPr>
      </w:pPr>
      <w:r>
        <w:rPr>
          <w:rFonts w:hint="eastAsia" w:ascii="仿宋" w:hAnsi="仿宋" w:eastAsia="仿宋" w:cs="Times New Roman"/>
          <w:b/>
          <w:sz w:val="24"/>
          <w:szCs w:val="24"/>
        </w:rPr>
        <w:t>注：</w:t>
      </w:r>
    </w:p>
    <w:p>
      <w:pPr>
        <w:snapToGrid w:val="0"/>
        <w:spacing w:line="360" w:lineRule="auto"/>
        <w:ind w:firstLine="480" w:firstLineChars="200"/>
        <w:contextualSpacing/>
        <w:rPr>
          <w:rFonts w:hint="eastAsia" w:ascii="仿宋" w:hAnsi="仿宋" w:eastAsia="仿宋" w:cs="Times New Roman"/>
          <w:sz w:val="24"/>
          <w:szCs w:val="24"/>
        </w:rPr>
      </w:pPr>
      <w:r>
        <w:rPr>
          <w:rFonts w:hint="eastAsia" w:ascii="仿宋" w:hAnsi="仿宋" w:eastAsia="仿宋" w:cs="Times New Roman"/>
          <w:sz w:val="24"/>
          <w:szCs w:val="24"/>
        </w:rPr>
        <w:t>1.供应商提交的响应文件中与比选文件第三部分“项目需求”中的商务部分的要求，应逐条填列在偏离表中。</w:t>
      </w:r>
    </w:p>
    <w:p>
      <w:pPr>
        <w:snapToGrid w:val="0"/>
        <w:spacing w:line="360" w:lineRule="auto"/>
        <w:ind w:firstLine="480" w:firstLineChars="200"/>
        <w:contextualSpacing/>
        <w:rPr>
          <w:rFonts w:hint="eastAsia" w:ascii="仿宋" w:hAnsi="仿宋" w:eastAsia="仿宋" w:cs="Times New Roman"/>
          <w:sz w:val="24"/>
          <w:szCs w:val="24"/>
        </w:rPr>
      </w:pPr>
      <w:r>
        <w:rPr>
          <w:rFonts w:hint="eastAsia" w:ascii="仿宋" w:hAnsi="仿宋" w:eastAsia="仿宋" w:cs="Times New Roman"/>
          <w:sz w:val="24"/>
          <w:szCs w:val="24"/>
        </w:rPr>
        <w:t>2.“偏离说明”一栏选择“正偏离”、“无偏离”、“负偏离”进行填写。正偏离、无偏离的确认和负偏离的是否响应招标文件，由评委认定。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hint="eastAsia" w:ascii="仿宋" w:hAnsi="仿宋" w:eastAsia="仿宋" w:cs="Times New Roman"/>
          <w:sz w:val="24"/>
          <w:szCs w:val="24"/>
        </w:rPr>
      </w:pPr>
      <w:r>
        <w:rPr>
          <w:rFonts w:hint="eastAsia" w:ascii="仿宋" w:hAnsi="仿宋" w:eastAsia="仿宋" w:cs="Times New Roman"/>
          <w:sz w:val="24"/>
          <w:szCs w:val="24"/>
        </w:rPr>
        <w:t>3.供应商如果虚假响应，将被暂停参加采购人或招标代理机构组织采购活动。</w:t>
      </w:r>
    </w:p>
    <w:p>
      <w:pPr>
        <w:snapToGrid w:val="0"/>
        <w:spacing w:line="360" w:lineRule="auto"/>
        <w:ind w:firstLine="480" w:firstLineChars="200"/>
        <w:contextualSpacing/>
        <w:rPr>
          <w:rFonts w:hint="eastAsia" w:ascii="仿宋" w:hAnsi="仿宋" w:eastAsia="仿宋" w:cs="Times New Roman"/>
          <w:bCs/>
          <w:sz w:val="24"/>
          <w:szCs w:val="24"/>
        </w:rPr>
      </w:pPr>
      <w:r>
        <w:rPr>
          <w:rFonts w:hint="eastAsia" w:ascii="仿宋" w:hAnsi="仿宋" w:eastAsia="仿宋" w:cs="Times New Roman"/>
          <w:bCs/>
          <w:sz w:val="24"/>
          <w:szCs w:val="24"/>
        </w:rPr>
        <w:t>4.供应商若提供其他增值服务，可以在表中自行据实填写。</w:t>
      </w:r>
    </w:p>
    <w:p>
      <w:pPr>
        <w:widowControl/>
        <w:spacing w:line="360" w:lineRule="auto"/>
        <w:jc w:val="left"/>
        <w:rPr>
          <w:rFonts w:hint="eastAsia"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hint="eastAsia" w:ascii="仿宋" w:hAnsi="仿宋" w:eastAsia="仿宋" w:cs="Times New Roman"/>
          <w:kern w:val="0"/>
          <w:sz w:val="24"/>
          <w:szCs w:val="24"/>
        </w:rPr>
      </w:pPr>
      <w:r>
        <w:rPr>
          <w:rFonts w:ascii="仿宋" w:hAnsi="仿宋" w:eastAsia="仿宋" w:cs="Times New Roman"/>
          <w:kern w:val="0"/>
          <w:sz w:val="24"/>
          <w:szCs w:val="24"/>
        </w:rPr>
        <w:t>附件6</w:t>
      </w:r>
    </w:p>
    <w:p>
      <w:pPr>
        <w:snapToGrid w:val="0"/>
        <w:spacing w:line="360" w:lineRule="auto"/>
        <w:contextualSpacing/>
        <w:jc w:val="center"/>
        <w:rPr>
          <w:rFonts w:hint="eastAsia" w:ascii="仿宋" w:hAnsi="仿宋" w:eastAsia="仿宋" w:cs="Times New Roman"/>
          <w:b/>
          <w:sz w:val="24"/>
          <w:szCs w:val="24"/>
        </w:rPr>
      </w:pPr>
      <w:r>
        <w:rPr>
          <w:rFonts w:hint="eastAsia" w:ascii="仿宋" w:hAnsi="仿宋" w:eastAsia="仿宋" w:cs="Times New Roman"/>
          <w:b/>
          <w:sz w:val="24"/>
          <w:szCs w:val="24"/>
        </w:rPr>
        <w:t>技术部分正负偏离表</w:t>
      </w:r>
    </w:p>
    <w:p>
      <w:pPr>
        <w:spacing w:line="360" w:lineRule="auto"/>
        <w:ind w:firstLine="480" w:firstLineChars="200"/>
        <w:jc w:val="center"/>
        <w:rPr>
          <w:rFonts w:hint="eastAsia" w:ascii="仿宋" w:hAnsi="仿宋" w:eastAsia="仿宋" w:cs="Times New Roman"/>
          <w:sz w:val="24"/>
          <w:szCs w:val="24"/>
        </w:rPr>
      </w:pPr>
      <w:r>
        <w:rPr>
          <w:rFonts w:hint="eastAsia" w:ascii="仿宋" w:hAnsi="仿宋" w:eastAsia="仿宋" w:cs="Times New Roman"/>
          <w:sz w:val="24"/>
          <w:szCs w:val="24"/>
        </w:rPr>
        <w:t>（由供应商据实填写，表格不够自行添加）</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序号</w:t>
            </w:r>
          </w:p>
        </w:tc>
        <w:tc>
          <w:tcPr>
            <w:tcW w:w="1254"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货物或服务名称</w:t>
            </w:r>
          </w:p>
        </w:tc>
        <w:tc>
          <w:tcPr>
            <w:tcW w:w="1095"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比选文件要求的技术要求</w:t>
            </w:r>
          </w:p>
        </w:tc>
        <w:tc>
          <w:tcPr>
            <w:tcW w:w="1413" w:type="pct"/>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响应文件响应情况</w:t>
            </w:r>
          </w:p>
        </w:tc>
        <w:tc>
          <w:tcPr>
            <w:tcW w:w="778" w:type="pct"/>
          </w:tcPr>
          <w:p>
            <w:pPr>
              <w:spacing w:line="360" w:lineRule="auto"/>
              <w:jc w:val="center"/>
              <w:rPr>
                <w:rFonts w:hint="eastAsia" w:ascii="仿宋" w:hAnsi="仿宋" w:eastAsia="仿宋" w:cs="Times New Roman"/>
                <w:sz w:val="24"/>
                <w:szCs w:val="24"/>
              </w:rPr>
            </w:pPr>
          </w:p>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1254" w:type="pct"/>
            <w:vAlign w:val="center"/>
          </w:tcPr>
          <w:p>
            <w:pPr>
              <w:spacing w:line="360" w:lineRule="auto"/>
              <w:jc w:val="left"/>
              <w:rPr>
                <w:rFonts w:hint="eastAsia" w:ascii="仿宋" w:hAnsi="仿宋" w:eastAsia="仿宋" w:cs="Times New Roman"/>
                <w:sz w:val="24"/>
                <w:szCs w:val="24"/>
              </w:rPr>
            </w:pPr>
          </w:p>
        </w:tc>
        <w:tc>
          <w:tcPr>
            <w:tcW w:w="1095" w:type="pct"/>
            <w:vAlign w:val="center"/>
          </w:tcPr>
          <w:p>
            <w:pPr>
              <w:spacing w:line="360" w:lineRule="auto"/>
              <w:jc w:val="left"/>
              <w:rPr>
                <w:rFonts w:hint="eastAsia" w:ascii="仿宋" w:hAnsi="仿宋" w:eastAsia="仿宋" w:cs="Times New Roman"/>
                <w:sz w:val="24"/>
                <w:szCs w:val="24"/>
              </w:rPr>
            </w:pPr>
          </w:p>
        </w:tc>
        <w:tc>
          <w:tcPr>
            <w:tcW w:w="1413" w:type="pct"/>
            <w:vAlign w:val="center"/>
          </w:tcPr>
          <w:p>
            <w:pPr>
              <w:spacing w:line="360" w:lineRule="auto"/>
              <w:jc w:val="left"/>
              <w:rPr>
                <w:rFonts w:hint="eastAsia" w:ascii="仿宋" w:hAnsi="仿宋" w:eastAsia="仿宋" w:cs="Times New Roman"/>
                <w:sz w:val="24"/>
                <w:szCs w:val="24"/>
              </w:rPr>
            </w:pPr>
          </w:p>
        </w:tc>
        <w:tc>
          <w:tcPr>
            <w:tcW w:w="778" w:type="pct"/>
          </w:tcPr>
          <w:p>
            <w:pPr>
              <w:spacing w:line="360" w:lineRule="auto"/>
              <w:jc w:val="left"/>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1254" w:type="pct"/>
            <w:vAlign w:val="center"/>
          </w:tcPr>
          <w:p>
            <w:pPr>
              <w:spacing w:line="360" w:lineRule="auto"/>
              <w:jc w:val="left"/>
              <w:rPr>
                <w:rFonts w:hint="eastAsia" w:ascii="仿宋" w:hAnsi="仿宋" w:eastAsia="仿宋" w:cs="Times New Roman"/>
                <w:sz w:val="24"/>
                <w:szCs w:val="24"/>
              </w:rPr>
            </w:pPr>
          </w:p>
        </w:tc>
        <w:tc>
          <w:tcPr>
            <w:tcW w:w="1095" w:type="pct"/>
            <w:vAlign w:val="center"/>
          </w:tcPr>
          <w:p>
            <w:pPr>
              <w:spacing w:line="360" w:lineRule="auto"/>
              <w:jc w:val="left"/>
              <w:rPr>
                <w:rFonts w:hint="eastAsia" w:ascii="仿宋" w:hAnsi="仿宋" w:eastAsia="仿宋" w:cs="Times New Roman"/>
                <w:sz w:val="24"/>
                <w:szCs w:val="24"/>
              </w:rPr>
            </w:pPr>
          </w:p>
        </w:tc>
        <w:tc>
          <w:tcPr>
            <w:tcW w:w="1413" w:type="pct"/>
            <w:vAlign w:val="center"/>
          </w:tcPr>
          <w:p>
            <w:pPr>
              <w:spacing w:line="360" w:lineRule="auto"/>
              <w:jc w:val="left"/>
              <w:rPr>
                <w:rFonts w:hint="eastAsia" w:ascii="仿宋" w:hAnsi="仿宋" w:eastAsia="仿宋" w:cs="Times New Roman"/>
                <w:sz w:val="24"/>
                <w:szCs w:val="24"/>
              </w:rPr>
            </w:pPr>
          </w:p>
        </w:tc>
        <w:tc>
          <w:tcPr>
            <w:tcW w:w="778" w:type="pct"/>
          </w:tcPr>
          <w:p>
            <w:pPr>
              <w:spacing w:line="360" w:lineRule="auto"/>
              <w:jc w:val="left"/>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1254" w:type="pct"/>
            <w:vAlign w:val="center"/>
          </w:tcPr>
          <w:p>
            <w:pPr>
              <w:spacing w:line="360" w:lineRule="auto"/>
              <w:jc w:val="left"/>
              <w:rPr>
                <w:rFonts w:hint="eastAsia" w:ascii="仿宋" w:hAnsi="仿宋" w:eastAsia="仿宋" w:cs="Times New Roman"/>
                <w:sz w:val="24"/>
                <w:szCs w:val="24"/>
              </w:rPr>
            </w:pPr>
          </w:p>
        </w:tc>
        <w:tc>
          <w:tcPr>
            <w:tcW w:w="1095" w:type="pct"/>
            <w:vAlign w:val="center"/>
          </w:tcPr>
          <w:p>
            <w:pPr>
              <w:spacing w:line="360" w:lineRule="auto"/>
              <w:jc w:val="left"/>
              <w:rPr>
                <w:rFonts w:hint="eastAsia" w:ascii="仿宋" w:hAnsi="仿宋" w:eastAsia="仿宋" w:cs="Times New Roman"/>
                <w:sz w:val="24"/>
                <w:szCs w:val="24"/>
              </w:rPr>
            </w:pPr>
          </w:p>
        </w:tc>
        <w:tc>
          <w:tcPr>
            <w:tcW w:w="1413" w:type="pct"/>
            <w:vAlign w:val="center"/>
          </w:tcPr>
          <w:p>
            <w:pPr>
              <w:spacing w:line="360" w:lineRule="auto"/>
              <w:jc w:val="left"/>
              <w:rPr>
                <w:rFonts w:hint="eastAsia" w:ascii="仿宋" w:hAnsi="仿宋" w:eastAsia="仿宋" w:cs="Times New Roman"/>
                <w:sz w:val="24"/>
                <w:szCs w:val="24"/>
              </w:rPr>
            </w:pPr>
          </w:p>
        </w:tc>
        <w:tc>
          <w:tcPr>
            <w:tcW w:w="778" w:type="pct"/>
          </w:tcPr>
          <w:p>
            <w:pPr>
              <w:spacing w:line="360" w:lineRule="auto"/>
              <w:jc w:val="left"/>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4</w:t>
            </w:r>
          </w:p>
        </w:tc>
        <w:tc>
          <w:tcPr>
            <w:tcW w:w="1254" w:type="pct"/>
            <w:vAlign w:val="center"/>
          </w:tcPr>
          <w:p>
            <w:pPr>
              <w:spacing w:line="360" w:lineRule="auto"/>
              <w:jc w:val="left"/>
              <w:rPr>
                <w:rFonts w:hint="eastAsia" w:ascii="仿宋" w:hAnsi="仿宋" w:eastAsia="仿宋" w:cs="Times New Roman"/>
                <w:sz w:val="24"/>
                <w:szCs w:val="24"/>
              </w:rPr>
            </w:pPr>
          </w:p>
        </w:tc>
        <w:tc>
          <w:tcPr>
            <w:tcW w:w="1095" w:type="pct"/>
            <w:vAlign w:val="center"/>
          </w:tcPr>
          <w:p>
            <w:pPr>
              <w:spacing w:line="360" w:lineRule="auto"/>
              <w:jc w:val="left"/>
              <w:rPr>
                <w:rFonts w:hint="eastAsia" w:ascii="仿宋" w:hAnsi="仿宋" w:eastAsia="仿宋" w:cs="Times New Roman"/>
                <w:sz w:val="24"/>
                <w:szCs w:val="24"/>
              </w:rPr>
            </w:pPr>
          </w:p>
        </w:tc>
        <w:tc>
          <w:tcPr>
            <w:tcW w:w="1413" w:type="pct"/>
            <w:vAlign w:val="center"/>
          </w:tcPr>
          <w:p>
            <w:pPr>
              <w:spacing w:line="360" w:lineRule="auto"/>
              <w:jc w:val="left"/>
              <w:rPr>
                <w:rFonts w:hint="eastAsia" w:ascii="仿宋" w:hAnsi="仿宋" w:eastAsia="仿宋" w:cs="Times New Roman"/>
                <w:sz w:val="24"/>
                <w:szCs w:val="24"/>
              </w:rPr>
            </w:pPr>
          </w:p>
        </w:tc>
        <w:tc>
          <w:tcPr>
            <w:tcW w:w="778" w:type="pct"/>
          </w:tcPr>
          <w:p>
            <w:pPr>
              <w:spacing w:line="360" w:lineRule="auto"/>
              <w:jc w:val="left"/>
              <w:rPr>
                <w:rFonts w:hint="eastAsia" w:ascii="仿宋" w:hAnsi="仿宋" w:eastAsia="仿宋" w:cs="Times New Roman"/>
                <w:sz w:val="24"/>
                <w:szCs w:val="24"/>
              </w:rPr>
            </w:pPr>
          </w:p>
        </w:tc>
      </w:tr>
    </w:tbl>
    <w:p>
      <w:pPr>
        <w:snapToGrid w:val="0"/>
        <w:spacing w:line="360" w:lineRule="auto"/>
        <w:contextualSpacing/>
        <w:rPr>
          <w:rFonts w:hint="eastAsia" w:ascii="仿宋" w:hAnsi="仿宋" w:eastAsia="仿宋" w:cs="Times New Roman"/>
          <w:b/>
          <w:sz w:val="24"/>
          <w:szCs w:val="24"/>
        </w:rPr>
      </w:pPr>
      <w:r>
        <w:rPr>
          <w:rFonts w:hint="eastAsia" w:ascii="仿宋" w:hAnsi="仿宋" w:eastAsia="仿宋" w:cs="Times New Roman"/>
          <w:b/>
          <w:sz w:val="24"/>
          <w:szCs w:val="24"/>
        </w:rPr>
        <w:t>注：</w:t>
      </w:r>
    </w:p>
    <w:p>
      <w:pPr>
        <w:snapToGrid w:val="0"/>
        <w:spacing w:line="360" w:lineRule="auto"/>
        <w:ind w:firstLine="480" w:firstLineChars="200"/>
        <w:contextualSpacing/>
        <w:rPr>
          <w:rFonts w:hint="eastAsia" w:ascii="仿宋" w:hAnsi="仿宋" w:eastAsia="仿宋" w:cs="Times New Roman"/>
          <w:sz w:val="24"/>
          <w:szCs w:val="24"/>
        </w:rPr>
      </w:pPr>
      <w:r>
        <w:rPr>
          <w:rFonts w:hint="eastAsia" w:ascii="仿宋" w:hAnsi="仿宋" w:eastAsia="仿宋" w:cs="Times New Roman"/>
          <w:sz w:val="24"/>
          <w:szCs w:val="24"/>
        </w:rPr>
        <w:t>1.供应商提交的响应文件中与比选文件第三部分“项目需求”中的技术部分的要求，应逐条填列在偏离表中。</w:t>
      </w:r>
    </w:p>
    <w:p>
      <w:pPr>
        <w:snapToGrid w:val="0"/>
        <w:spacing w:line="360" w:lineRule="auto"/>
        <w:ind w:firstLine="480" w:firstLineChars="200"/>
        <w:contextualSpacing/>
        <w:rPr>
          <w:rFonts w:hint="eastAsia" w:ascii="仿宋" w:hAnsi="仿宋" w:eastAsia="仿宋" w:cs="Times New Roman"/>
          <w:sz w:val="24"/>
          <w:szCs w:val="24"/>
        </w:rPr>
      </w:pPr>
      <w:r>
        <w:rPr>
          <w:rFonts w:hint="eastAsia" w:ascii="仿宋" w:hAnsi="仿宋" w:eastAsia="仿宋" w:cs="Times New Roman"/>
          <w:sz w:val="24"/>
          <w:szCs w:val="24"/>
        </w:rPr>
        <w:t>2.“偏离说明”一栏选择“正偏离”、“无偏离”、“负偏离”进行填写。正偏离、无偏离的确认和负偏离的是否响应招标文件，由评委认定。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hint="eastAsia" w:ascii="仿宋" w:hAnsi="仿宋" w:eastAsia="仿宋" w:cs="Times New Roman"/>
          <w:sz w:val="24"/>
          <w:szCs w:val="24"/>
        </w:rPr>
      </w:pPr>
      <w:r>
        <w:rPr>
          <w:rFonts w:hint="eastAsia" w:ascii="仿宋" w:hAnsi="仿宋" w:eastAsia="仿宋" w:cs="Times New Roman"/>
          <w:sz w:val="24"/>
          <w:szCs w:val="24"/>
        </w:rPr>
        <w:t>3.供应商如果虚假响应，将被暂停参加采购人或招标代理机构组织采购活动。</w:t>
      </w:r>
    </w:p>
    <w:p>
      <w:pPr>
        <w:snapToGrid w:val="0"/>
        <w:spacing w:line="360" w:lineRule="auto"/>
        <w:ind w:firstLine="480" w:firstLineChars="200"/>
        <w:contextualSpacing/>
        <w:rPr>
          <w:rFonts w:hint="eastAsia" w:ascii="仿宋" w:hAnsi="仿宋" w:eastAsia="仿宋" w:cs="Times New Roman"/>
          <w:bCs/>
          <w:sz w:val="24"/>
          <w:szCs w:val="24"/>
        </w:rPr>
      </w:pPr>
      <w:r>
        <w:rPr>
          <w:rFonts w:hint="eastAsia" w:ascii="仿宋" w:hAnsi="仿宋" w:eastAsia="仿宋" w:cs="Times New Roman"/>
          <w:bCs/>
          <w:sz w:val="24"/>
          <w:szCs w:val="24"/>
        </w:rPr>
        <w:t>4.供应商若提供其他增值服务，可以在表中自行据实填写。</w:t>
      </w:r>
    </w:p>
    <w:p>
      <w:pPr>
        <w:widowControl/>
        <w:spacing w:line="360" w:lineRule="auto"/>
        <w:jc w:val="left"/>
        <w:rPr>
          <w:rFonts w:hint="eastAsia"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hint="eastAsia" w:ascii="仿宋" w:hAnsi="仿宋" w:eastAsia="仿宋" w:cs="Times New Roman"/>
          <w:kern w:val="0"/>
          <w:sz w:val="24"/>
          <w:szCs w:val="24"/>
        </w:rPr>
      </w:pPr>
      <w:r>
        <w:rPr>
          <w:rFonts w:ascii="仿宋" w:hAnsi="仿宋" w:eastAsia="仿宋" w:cs="Times New Roman"/>
          <w:kern w:val="0"/>
          <w:sz w:val="24"/>
          <w:szCs w:val="24"/>
        </w:rPr>
        <w:t>附件7</w:t>
      </w:r>
    </w:p>
    <w:p>
      <w:pPr>
        <w:widowControl/>
        <w:spacing w:line="360" w:lineRule="auto"/>
        <w:jc w:val="center"/>
        <w:rPr>
          <w:rFonts w:hint="eastAsia" w:ascii="仿宋" w:hAnsi="仿宋" w:eastAsia="仿宋" w:cs="宋体"/>
          <w:kern w:val="0"/>
          <w:sz w:val="24"/>
          <w:szCs w:val="24"/>
        </w:rPr>
      </w:pPr>
      <w:r>
        <w:rPr>
          <w:rFonts w:hint="eastAsia" w:ascii="仿宋" w:hAnsi="仿宋" w:eastAsia="仿宋" w:cs="宋体"/>
          <w:b/>
          <w:bCs/>
          <w:kern w:val="0"/>
          <w:sz w:val="24"/>
          <w:szCs w:val="24"/>
        </w:rPr>
        <w:t>报价总表</w:t>
      </w:r>
    </w:p>
    <w:p>
      <w:pPr>
        <w:spacing w:line="360" w:lineRule="auto"/>
        <w:rPr>
          <w:rFonts w:hint="eastAsia" w:ascii="仿宋" w:hAnsi="仿宋" w:eastAsia="仿宋" w:cs="宋体"/>
          <w:kern w:val="0"/>
          <w:sz w:val="24"/>
          <w:szCs w:val="24"/>
          <w:u w:val="single"/>
        </w:rPr>
      </w:pPr>
      <w:r>
        <w:rPr>
          <w:rFonts w:ascii="仿宋" w:hAnsi="仿宋" w:eastAsia="仿宋" w:cs="宋体"/>
          <w:kern w:val="0"/>
          <w:sz w:val="24"/>
          <w:szCs w:val="24"/>
        </w:rPr>
        <w:t>供应商全称（加盖公章）：</w:t>
      </w:r>
    </w:p>
    <w:p>
      <w:pPr>
        <w:spacing w:line="360" w:lineRule="auto"/>
        <w:rPr>
          <w:rFonts w:hint="eastAsia" w:ascii="仿宋" w:hAnsi="仿宋" w:eastAsia="仿宋" w:cs="宋体"/>
          <w:kern w:val="0"/>
          <w:sz w:val="24"/>
          <w:szCs w:val="24"/>
          <w:u w:val="single"/>
        </w:rPr>
      </w:pPr>
      <w:r>
        <w:rPr>
          <w:rFonts w:ascii="仿宋" w:hAnsi="仿宋" w:eastAsia="仿宋" w:cs="宋体"/>
          <w:kern w:val="0"/>
          <w:sz w:val="24"/>
          <w:szCs w:val="24"/>
        </w:rPr>
        <w:t>项目名称：</w:t>
      </w:r>
    </w:p>
    <w:p>
      <w:pPr>
        <w:spacing w:line="360" w:lineRule="auto"/>
        <w:rPr>
          <w:rFonts w:hint="eastAsia" w:ascii="仿宋" w:hAnsi="仿宋" w:eastAsia="仿宋" w:cs="宋体"/>
          <w:kern w:val="0"/>
          <w:sz w:val="24"/>
          <w:szCs w:val="24"/>
        </w:rPr>
      </w:pPr>
      <w:r>
        <w:rPr>
          <w:rFonts w:ascii="仿宋" w:hAnsi="仿宋" w:eastAsia="仿宋" w:cs="宋体"/>
          <w:kern w:val="0"/>
          <w:sz w:val="24"/>
          <w:szCs w:val="24"/>
        </w:rPr>
        <w:t>项目编号：</w:t>
      </w:r>
    </w:p>
    <w:p>
      <w:pPr>
        <w:spacing w:line="360" w:lineRule="auto"/>
        <w:rPr>
          <w:rFonts w:hint="eastAsia" w:ascii="仿宋" w:hAnsi="仿宋" w:eastAsia="仿宋" w:cs="宋体"/>
          <w:kern w:val="0"/>
          <w:sz w:val="24"/>
          <w:szCs w:val="24"/>
        </w:rPr>
      </w:pPr>
      <w:r>
        <w:rPr>
          <w:rFonts w:ascii="仿宋" w:hAnsi="仿宋" w:eastAsia="仿宋" w:cs="宋体"/>
          <w:kern w:val="0"/>
          <w:sz w:val="24"/>
          <w:szCs w:val="24"/>
        </w:rPr>
        <w:t>分包号：</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比选</w:t>
            </w:r>
            <w:r>
              <w:rPr>
                <w:rFonts w:ascii="仿宋" w:hAnsi="仿宋" w:eastAsia="仿宋" w:cs="宋体"/>
                <w:kern w:val="0"/>
                <w:sz w:val="24"/>
                <w:szCs w:val="24"/>
              </w:rPr>
              <w:t>货物、服务名称</w:t>
            </w:r>
          </w:p>
        </w:tc>
        <w:tc>
          <w:tcPr>
            <w:tcW w:w="4607" w:type="dxa"/>
          </w:tcPr>
          <w:p>
            <w:pPr>
              <w:spacing w:line="360" w:lineRule="auto"/>
              <w:jc w:val="center"/>
              <w:rPr>
                <w:rFonts w:hint="eastAsia" w:ascii="仿宋" w:hAnsi="仿宋" w:eastAsia="仿宋" w:cs="Times New Roman"/>
                <w:sz w:val="24"/>
                <w:szCs w:val="24"/>
              </w:rPr>
            </w:pPr>
            <w:r>
              <w:rPr>
                <w:rFonts w:hint="eastAsia" w:ascii="仿宋" w:hAnsi="仿宋" w:eastAsia="仿宋" w:cs="仿宋"/>
                <w:sz w:val="24"/>
                <w:szCs w:val="24"/>
              </w:rPr>
              <w:t>比选</w:t>
            </w:r>
            <w:r>
              <w:rPr>
                <w:rFonts w:ascii="仿宋" w:hAnsi="仿宋" w:eastAsia="仿宋" w:cs="宋体"/>
                <w:kern w:val="0"/>
                <w:sz w:val="24"/>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spacing w:line="360" w:lineRule="auto"/>
              <w:rPr>
                <w:rFonts w:hint="eastAsia" w:ascii="仿宋" w:hAnsi="仿宋" w:eastAsia="仿宋" w:cs="Times New Roman"/>
                <w:sz w:val="24"/>
                <w:szCs w:val="24"/>
              </w:rPr>
            </w:pPr>
          </w:p>
        </w:tc>
        <w:tc>
          <w:tcPr>
            <w:tcW w:w="4607" w:type="dxa"/>
          </w:tcPr>
          <w:p>
            <w:pPr>
              <w:spacing w:line="360" w:lineRule="auto"/>
              <w:rPr>
                <w:rFonts w:hint="eastAsia" w:ascii="仿宋" w:hAnsi="仿宋" w:eastAsia="仿宋" w:cs="宋体"/>
                <w:kern w:val="0"/>
                <w:sz w:val="24"/>
                <w:szCs w:val="24"/>
              </w:rPr>
            </w:pPr>
            <w:r>
              <w:rPr>
                <w:rFonts w:ascii="仿宋" w:hAnsi="仿宋" w:eastAsia="仿宋" w:cs="宋体"/>
                <w:kern w:val="0"/>
                <w:sz w:val="24"/>
                <w:szCs w:val="24"/>
              </w:rPr>
              <w:t>大写：</w:t>
            </w:r>
          </w:p>
          <w:p>
            <w:pPr>
              <w:spacing w:line="360" w:lineRule="auto"/>
              <w:rPr>
                <w:rFonts w:hint="eastAsia" w:ascii="仿宋" w:hAnsi="仿宋" w:eastAsia="仿宋" w:cs="Times New Roman"/>
                <w:sz w:val="24"/>
                <w:szCs w:val="24"/>
                <w:u w:val="single"/>
              </w:rPr>
            </w:pPr>
            <w:r>
              <w:rPr>
                <w:rFonts w:ascii="仿宋" w:hAnsi="仿宋" w:eastAsia="仿宋" w:cs="宋体"/>
                <w:kern w:val="0"/>
                <w:sz w:val="24"/>
                <w:szCs w:val="24"/>
              </w:rPr>
              <w:t>小写：元（人民币）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rPr>
                <w:rFonts w:hint="eastAsia" w:ascii="仿宋" w:hAnsi="仿宋" w:eastAsia="仿宋" w:cs="Times New Roman"/>
                <w:sz w:val="24"/>
                <w:szCs w:val="24"/>
              </w:rPr>
            </w:pPr>
            <w:r>
              <w:rPr>
                <w:rFonts w:ascii="仿宋" w:hAnsi="仿宋" w:eastAsia="仿宋" w:cs="宋体"/>
                <w:kern w:val="0"/>
                <w:sz w:val="24"/>
                <w:szCs w:val="24"/>
              </w:rPr>
              <w:t>主要货物、服务制造商及产地</w:t>
            </w:r>
          </w:p>
        </w:tc>
        <w:tc>
          <w:tcPr>
            <w:tcW w:w="4607" w:type="dxa"/>
          </w:tcPr>
          <w:p>
            <w:pPr>
              <w:spacing w:line="360" w:lineRule="auto"/>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pPr>
              <w:spacing w:line="360" w:lineRule="auto"/>
              <w:rPr>
                <w:rFonts w:hint="eastAsia" w:ascii="仿宋" w:hAnsi="仿宋" w:eastAsia="仿宋" w:cs="Times New Roman"/>
                <w:sz w:val="24"/>
                <w:szCs w:val="24"/>
              </w:rPr>
            </w:pPr>
          </w:p>
        </w:tc>
        <w:tc>
          <w:tcPr>
            <w:tcW w:w="4607" w:type="dxa"/>
          </w:tcPr>
          <w:p>
            <w:pPr>
              <w:spacing w:line="360" w:lineRule="auto"/>
              <w:rPr>
                <w:rFonts w:hint="eastAsia" w:ascii="仿宋" w:hAnsi="仿宋" w:eastAsia="仿宋" w:cs="Times New Roman"/>
                <w:sz w:val="24"/>
                <w:szCs w:val="24"/>
              </w:rPr>
            </w:pPr>
          </w:p>
        </w:tc>
      </w:tr>
    </w:tbl>
    <w:p>
      <w:pPr>
        <w:spacing w:line="360" w:lineRule="auto"/>
        <w:rPr>
          <w:rFonts w:hint="eastAsia" w:ascii="仿宋" w:hAnsi="仿宋" w:eastAsia="仿宋" w:cs="宋体"/>
          <w:kern w:val="0"/>
          <w:sz w:val="24"/>
          <w:szCs w:val="24"/>
        </w:rPr>
      </w:pPr>
      <w:r>
        <w:rPr>
          <w:rFonts w:ascii="仿宋" w:hAnsi="仿宋" w:eastAsia="仿宋" w:cs="宋体"/>
          <w:kern w:val="0"/>
          <w:sz w:val="24"/>
          <w:szCs w:val="24"/>
        </w:rPr>
        <w:t>日期：</w:t>
      </w:r>
    </w:p>
    <w:p>
      <w:pPr>
        <w:spacing w:line="360" w:lineRule="auto"/>
        <w:rPr>
          <w:rFonts w:hint="eastAsia" w:ascii="仿宋" w:hAnsi="仿宋" w:eastAsia="仿宋" w:cs="宋体"/>
          <w:kern w:val="0"/>
          <w:sz w:val="24"/>
          <w:szCs w:val="24"/>
        </w:rPr>
      </w:pPr>
      <w:r>
        <w:rPr>
          <w:rFonts w:ascii="仿宋" w:hAnsi="仿宋" w:eastAsia="仿宋" w:cs="宋体"/>
          <w:kern w:val="0"/>
          <w:sz w:val="24"/>
          <w:szCs w:val="24"/>
        </w:rPr>
        <w:t>填写说明：</w:t>
      </w:r>
    </w:p>
    <w:p>
      <w:pPr>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报价总表</w:t>
      </w:r>
      <w:r>
        <w:rPr>
          <w:rFonts w:ascii="仿宋" w:hAnsi="仿宋" w:eastAsia="仿宋" w:cs="宋体"/>
          <w:kern w:val="0"/>
          <w:sz w:val="24"/>
          <w:szCs w:val="24"/>
        </w:rPr>
        <w:t>必须加盖</w:t>
      </w:r>
      <w:r>
        <w:rPr>
          <w:rFonts w:hint="eastAsia" w:ascii="仿宋" w:hAnsi="仿宋" w:eastAsia="仿宋" w:cs="宋体"/>
          <w:kern w:val="0"/>
          <w:sz w:val="24"/>
          <w:szCs w:val="24"/>
        </w:rPr>
        <w:t>供应商</w:t>
      </w:r>
      <w:r>
        <w:rPr>
          <w:rFonts w:ascii="仿宋" w:hAnsi="仿宋" w:eastAsia="仿宋" w:cs="宋体"/>
          <w:kern w:val="0"/>
          <w:sz w:val="24"/>
          <w:szCs w:val="24"/>
        </w:rPr>
        <w:t>公章（复印件无效）。</w:t>
      </w:r>
    </w:p>
    <w:p>
      <w:pPr>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2</w:t>
      </w:r>
      <w:r>
        <w:rPr>
          <w:rFonts w:ascii="仿宋" w:hAnsi="仿宋" w:eastAsia="仿宋" w:cs="宋体"/>
          <w:kern w:val="0"/>
          <w:sz w:val="24"/>
          <w:szCs w:val="24"/>
        </w:rPr>
        <w:t>、如有分包，供应商</w:t>
      </w:r>
      <w:r>
        <w:rPr>
          <w:rFonts w:hint="eastAsia" w:ascii="仿宋" w:hAnsi="仿宋" w:eastAsia="仿宋" w:cs="宋体"/>
          <w:kern w:val="0"/>
          <w:sz w:val="24"/>
          <w:szCs w:val="24"/>
        </w:rPr>
        <w:t>参与</w:t>
      </w:r>
      <w:r>
        <w:rPr>
          <w:rFonts w:ascii="仿宋" w:hAnsi="仿宋" w:eastAsia="仿宋" w:cs="宋体"/>
          <w:kern w:val="0"/>
          <w:sz w:val="24"/>
          <w:szCs w:val="24"/>
        </w:rPr>
        <w:t>任何一个包的标的，都需单独填写</w:t>
      </w:r>
      <w:r>
        <w:rPr>
          <w:rFonts w:hint="eastAsia" w:ascii="仿宋" w:hAnsi="仿宋" w:eastAsia="仿宋" w:cs="宋体"/>
          <w:kern w:val="0"/>
          <w:sz w:val="24"/>
          <w:szCs w:val="24"/>
        </w:rPr>
        <w:t>报价总表</w:t>
      </w:r>
      <w:r>
        <w:rPr>
          <w:rFonts w:ascii="仿宋" w:hAnsi="仿宋" w:eastAsia="仿宋" w:cs="宋体"/>
          <w:kern w:val="0"/>
          <w:sz w:val="24"/>
          <w:szCs w:val="24"/>
        </w:rPr>
        <w:t>。</w:t>
      </w:r>
    </w:p>
    <w:p>
      <w:pPr>
        <w:widowControl/>
        <w:spacing w:line="360" w:lineRule="auto"/>
        <w:jc w:val="left"/>
        <w:rPr>
          <w:rFonts w:hint="eastAsia"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hint="eastAsia" w:ascii="仿宋" w:hAnsi="仿宋" w:eastAsia="仿宋" w:cs="Times New Roman"/>
          <w:kern w:val="0"/>
          <w:sz w:val="24"/>
          <w:szCs w:val="24"/>
        </w:rPr>
      </w:pPr>
      <w:r>
        <w:rPr>
          <w:rFonts w:ascii="仿宋" w:hAnsi="仿宋" w:eastAsia="仿宋" w:cs="Times New Roman"/>
          <w:kern w:val="0"/>
          <w:sz w:val="24"/>
          <w:szCs w:val="24"/>
        </w:rPr>
        <w:t>附件8</w:t>
      </w:r>
    </w:p>
    <w:p>
      <w:pPr>
        <w:spacing w:line="360" w:lineRule="auto"/>
        <w:jc w:val="center"/>
        <w:rPr>
          <w:rFonts w:hint="eastAsia" w:ascii="仿宋" w:hAnsi="仿宋" w:eastAsia="仿宋" w:cs="Times New Roman"/>
          <w:sz w:val="24"/>
          <w:szCs w:val="24"/>
        </w:rPr>
      </w:pPr>
      <w:r>
        <w:rPr>
          <w:rFonts w:hint="eastAsia" w:ascii="仿宋" w:hAnsi="仿宋" w:eastAsia="仿宋" w:cs="Times New Roman"/>
          <w:b/>
          <w:bCs/>
          <w:sz w:val="24"/>
          <w:szCs w:val="24"/>
        </w:rPr>
        <w:t>分项报价明细表（货物类）</w:t>
      </w:r>
    </w:p>
    <w:p>
      <w:pPr>
        <w:snapToGrid w:val="0"/>
        <w:spacing w:line="360" w:lineRule="auto"/>
        <w:rPr>
          <w:rFonts w:hint="eastAsia" w:ascii="仿宋" w:hAnsi="仿宋" w:eastAsia="仿宋" w:cs="Times New Roman"/>
          <w:sz w:val="24"/>
          <w:szCs w:val="24"/>
        </w:rPr>
      </w:pPr>
      <w:r>
        <w:rPr>
          <w:rFonts w:hint="eastAsia" w:ascii="仿宋" w:hAnsi="仿宋" w:eastAsia="仿宋" w:cs="Times New Roman"/>
          <w:sz w:val="24"/>
          <w:szCs w:val="24"/>
        </w:rPr>
        <w:t>供应商（盖章）：</w:t>
      </w:r>
    </w:p>
    <w:tbl>
      <w:tblPr>
        <w:tblStyle w:val="1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序号</w:t>
            </w:r>
          </w:p>
        </w:tc>
        <w:tc>
          <w:tcPr>
            <w:tcW w:w="1340"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名称</w:t>
            </w:r>
          </w:p>
        </w:tc>
        <w:tc>
          <w:tcPr>
            <w:tcW w:w="1211"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规格型号</w:t>
            </w:r>
          </w:p>
        </w:tc>
        <w:tc>
          <w:tcPr>
            <w:tcW w:w="1276"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品牌</w:t>
            </w:r>
          </w:p>
        </w:tc>
        <w:tc>
          <w:tcPr>
            <w:tcW w:w="992"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单位</w:t>
            </w:r>
          </w:p>
        </w:tc>
        <w:tc>
          <w:tcPr>
            <w:tcW w:w="851"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数量</w:t>
            </w:r>
          </w:p>
        </w:tc>
        <w:tc>
          <w:tcPr>
            <w:tcW w:w="850"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单价</w:t>
            </w:r>
          </w:p>
        </w:tc>
        <w:tc>
          <w:tcPr>
            <w:tcW w:w="851"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金额</w:t>
            </w:r>
          </w:p>
        </w:tc>
        <w:tc>
          <w:tcPr>
            <w:tcW w:w="1403" w:type="dxa"/>
            <w:vAlign w:val="center"/>
          </w:tcPr>
          <w:p>
            <w:pPr>
              <w:snapToGrid w:val="0"/>
              <w:spacing w:line="360" w:lineRule="auto"/>
              <w:ind w:firstLine="120" w:firstLineChars="50"/>
              <w:jc w:val="center"/>
              <w:rPr>
                <w:rFonts w:hint="eastAsia" w:ascii="仿宋" w:hAnsi="仿宋" w:eastAsia="仿宋" w:cs="Times New Roman"/>
                <w:b/>
                <w:sz w:val="24"/>
                <w:szCs w:val="24"/>
              </w:rPr>
            </w:pPr>
            <w:r>
              <w:rPr>
                <w:rFonts w:hint="eastAsia" w:ascii="仿宋" w:hAnsi="仿宋" w:eastAsia="仿宋"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1340" w:type="dxa"/>
            <w:vAlign w:val="center"/>
          </w:tcPr>
          <w:p>
            <w:pPr>
              <w:snapToGrid w:val="0"/>
              <w:spacing w:line="360" w:lineRule="auto"/>
              <w:jc w:val="center"/>
              <w:rPr>
                <w:rFonts w:hint="eastAsia" w:ascii="仿宋" w:hAnsi="仿宋" w:eastAsia="仿宋" w:cs="Times New Roman"/>
                <w:sz w:val="24"/>
                <w:szCs w:val="24"/>
              </w:rPr>
            </w:pPr>
          </w:p>
        </w:tc>
        <w:tc>
          <w:tcPr>
            <w:tcW w:w="1211"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992"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850"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403"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1340" w:type="dxa"/>
            <w:vAlign w:val="center"/>
          </w:tcPr>
          <w:p>
            <w:pPr>
              <w:snapToGrid w:val="0"/>
              <w:spacing w:line="360" w:lineRule="auto"/>
              <w:jc w:val="center"/>
              <w:rPr>
                <w:rFonts w:hint="eastAsia" w:ascii="仿宋" w:hAnsi="仿宋" w:eastAsia="仿宋" w:cs="Times New Roman"/>
                <w:sz w:val="24"/>
                <w:szCs w:val="24"/>
              </w:rPr>
            </w:pPr>
          </w:p>
        </w:tc>
        <w:tc>
          <w:tcPr>
            <w:tcW w:w="1211"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992"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850"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403"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1340" w:type="dxa"/>
            <w:vAlign w:val="center"/>
          </w:tcPr>
          <w:p>
            <w:pPr>
              <w:snapToGrid w:val="0"/>
              <w:spacing w:line="360" w:lineRule="auto"/>
              <w:jc w:val="center"/>
              <w:rPr>
                <w:rFonts w:hint="eastAsia" w:ascii="仿宋" w:hAnsi="仿宋" w:eastAsia="仿宋" w:cs="Times New Roman"/>
                <w:sz w:val="24"/>
                <w:szCs w:val="24"/>
              </w:rPr>
            </w:pPr>
          </w:p>
        </w:tc>
        <w:tc>
          <w:tcPr>
            <w:tcW w:w="1211"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992"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850"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403"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4</w:t>
            </w:r>
          </w:p>
        </w:tc>
        <w:tc>
          <w:tcPr>
            <w:tcW w:w="1340" w:type="dxa"/>
            <w:vAlign w:val="center"/>
          </w:tcPr>
          <w:p>
            <w:pPr>
              <w:snapToGrid w:val="0"/>
              <w:spacing w:line="360" w:lineRule="auto"/>
              <w:jc w:val="center"/>
              <w:rPr>
                <w:rFonts w:hint="eastAsia" w:ascii="仿宋" w:hAnsi="仿宋" w:eastAsia="仿宋" w:cs="Times New Roman"/>
                <w:sz w:val="24"/>
                <w:szCs w:val="24"/>
              </w:rPr>
            </w:pPr>
          </w:p>
        </w:tc>
        <w:tc>
          <w:tcPr>
            <w:tcW w:w="1211"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992"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850"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403"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hint="eastAsia" w:ascii="仿宋" w:hAnsi="仿宋" w:eastAsia="仿宋" w:cs="Times New Roman"/>
                <w:sz w:val="24"/>
                <w:szCs w:val="24"/>
              </w:rPr>
            </w:pPr>
          </w:p>
        </w:tc>
        <w:tc>
          <w:tcPr>
            <w:tcW w:w="1340" w:type="dxa"/>
            <w:vAlign w:val="center"/>
          </w:tcPr>
          <w:p>
            <w:pPr>
              <w:snapToGrid w:val="0"/>
              <w:spacing w:line="360" w:lineRule="auto"/>
              <w:jc w:val="center"/>
              <w:rPr>
                <w:rFonts w:hint="eastAsia" w:ascii="仿宋" w:hAnsi="仿宋" w:eastAsia="仿宋" w:cs="Times New Roman"/>
                <w:sz w:val="24"/>
                <w:szCs w:val="24"/>
              </w:rPr>
            </w:pPr>
          </w:p>
        </w:tc>
        <w:tc>
          <w:tcPr>
            <w:tcW w:w="1211"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992"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850"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403"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合计</w:t>
            </w:r>
          </w:p>
        </w:tc>
        <w:tc>
          <w:tcPr>
            <w:tcW w:w="8774" w:type="dxa"/>
            <w:gridSpan w:val="8"/>
            <w:vAlign w:val="center"/>
          </w:tcPr>
          <w:p>
            <w:pPr>
              <w:snapToGrid w:val="0"/>
              <w:spacing w:line="360" w:lineRule="auto"/>
              <w:jc w:val="center"/>
              <w:rPr>
                <w:rFonts w:hint="eastAsia" w:ascii="仿宋" w:hAnsi="仿宋" w:eastAsia="仿宋" w:cs="Times New Roman"/>
                <w:sz w:val="24"/>
                <w:szCs w:val="24"/>
              </w:rPr>
            </w:pPr>
          </w:p>
        </w:tc>
      </w:tr>
    </w:tbl>
    <w:p>
      <w:pPr>
        <w:snapToGrid w:val="0"/>
        <w:spacing w:line="360" w:lineRule="auto"/>
        <w:ind w:left="843" w:hanging="843" w:hangingChars="350"/>
        <w:rPr>
          <w:rFonts w:hint="eastAsia" w:ascii="仿宋" w:hAnsi="仿宋" w:eastAsia="仿宋" w:cs="Times New Roman"/>
          <w:b/>
          <w:bCs/>
          <w:sz w:val="24"/>
          <w:szCs w:val="24"/>
        </w:rPr>
      </w:pPr>
    </w:p>
    <w:p>
      <w:pPr>
        <w:spacing w:line="360" w:lineRule="auto"/>
        <w:jc w:val="center"/>
        <w:rPr>
          <w:rFonts w:hint="eastAsia" w:ascii="仿宋" w:hAnsi="仿宋" w:eastAsia="仿宋" w:cs="Times New Roman"/>
          <w:b/>
          <w:bCs/>
          <w:sz w:val="24"/>
          <w:szCs w:val="24"/>
        </w:rPr>
      </w:pPr>
      <w:r>
        <w:rPr>
          <w:rFonts w:hint="eastAsia" w:ascii="仿宋" w:hAnsi="仿宋" w:eastAsia="仿宋" w:cs="Times New Roman"/>
          <w:b/>
          <w:bCs/>
          <w:sz w:val="24"/>
          <w:szCs w:val="24"/>
        </w:rPr>
        <w:t>分项报价明细表（服务类）</w:t>
      </w:r>
    </w:p>
    <w:p>
      <w:pPr>
        <w:snapToGrid w:val="0"/>
        <w:spacing w:line="360" w:lineRule="auto"/>
        <w:rPr>
          <w:rFonts w:hint="eastAsia" w:ascii="仿宋" w:hAnsi="仿宋" w:eastAsia="仿宋" w:cs="Times New Roman"/>
          <w:sz w:val="24"/>
          <w:szCs w:val="24"/>
        </w:rPr>
      </w:pPr>
      <w:r>
        <w:rPr>
          <w:rFonts w:hint="eastAsia" w:ascii="仿宋" w:hAnsi="仿宋" w:eastAsia="仿宋" w:cs="Times New Roman"/>
          <w:sz w:val="24"/>
          <w:szCs w:val="24"/>
        </w:rPr>
        <w:t>供应商（盖章）：</w:t>
      </w:r>
    </w:p>
    <w:tbl>
      <w:tblPr>
        <w:tblStyle w:val="14"/>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序号</w:t>
            </w:r>
          </w:p>
        </w:tc>
        <w:tc>
          <w:tcPr>
            <w:tcW w:w="1321"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名称</w:t>
            </w:r>
          </w:p>
        </w:tc>
        <w:tc>
          <w:tcPr>
            <w:tcW w:w="1417"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服务范围</w:t>
            </w:r>
          </w:p>
        </w:tc>
        <w:tc>
          <w:tcPr>
            <w:tcW w:w="1418"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服务要求</w:t>
            </w:r>
          </w:p>
        </w:tc>
        <w:tc>
          <w:tcPr>
            <w:tcW w:w="1275"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服务时间</w:t>
            </w:r>
          </w:p>
        </w:tc>
        <w:tc>
          <w:tcPr>
            <w:tcW w:w="1276"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服务标准</w:t>
            </w:r>
          </w:p>
        </w:tc>
        <w:tc>
          <w:tcPr>
            <w:tcW w:w="851" w:type="dxa"/>
            <w:vAlign w:val="center"/>
          </w:tcPr>
          <w:p>
            <w:pPr>
              <w:snapToGrid w:val="0"/>
              <w:spacing w:line="360" w:lineRule="auto"/>
              <w:jc w:val="center"/>
              <w:rPr>
                <w:rFonts w:hint="eastAsia" w:ascii="仿宋" w:hAnsi="仿宋" w:eastAsia="仿宋" w:cs="Times New Roman"/>
                <w:b/>
                <w:sz w:val="24"/>
                <w:szCs w:val="24"/>
              </w:rPr>
            </w:pPr>
            <w:r>
              <w:rPr>
                <w:rFonts w:hint="eastAsia" w:ascii="仿宋" w:hAnsi="仿宋" w:eastAsia="仿宋" w:cs="Times New Roman"/>
                <w:b/>
                <w:sz w:val="24"/>
                <w:szCs w:val="24"/>
              </w:rPr>
              <w:t>金额</w:t>
            </w:r>
          </w:p>
        </w:tc>
        <w:tc>
          <w:tcPr>
            <w:tcW w:w="1151" w:type="dxa"/>
            <w:vAlign w:val="center"/>
          </w:tcPr>
          <w:p>
            <w:pPr>
              <w:snapToGrid w:val="0"/>
              <w:spacing w:line="360" w:lineRule="auto"/>
              <w:ind w:firstLine="120" w:firstLineChars="50"/>
              <w:jc w:val="center"/>
              <w:rPr>
                <w:rFonts w:hint="eastAsia" w:ascii="仿宋" w:hAnsi="仿宋" w:eastAsia="仿宋" w:cs="Times New Roman"/>
                <w:b/>
                <w:sz w:val="24"/>
                <w:szCs w:val="24"/>
              </w:rPr>
            </w:pPr>
            <w:r>
              <w:rPr>
                <w:rFonts w:hint="eastAsia" w:ascii="仿宋" w:hAnsi="仿宋" w:eastAsia="仿宋"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1</w:t>
            </w:r>
          </w:p>
        </w:tc>
        <w:tc>
          <w:tcPr>
            <w:tcW w:w="1321" w:type="dxa"/>
            <w:vAlign w:val="center"/>
          </w:tcPr>
          <w:p>
            <w:pPr>
              <w:snapToGrid w:val="0"/>
              <w:spacing w:line="360" w:lineRule="auto"/>
              <w:jc w:val="center"/>
              <w:rPr>
                <w:rFonts w:hint="eastAsia" w:ascii="仿宋" w:hAnsi="仿宋" w:eastAsia="仿宋" w:cs="Times New Roman"/>
                <w:sz w:val="24"/>
                <w:szCs w:val="24"/>
              </w:rPr>
            </w:pPr>
          </w:p>
        </w:tc>
        <w:tc>
          <w:tcPr>
            <w:tcW w:w="1417" w:type="dxa"/>
            <w:vAlign w:val="center"/>
          </w:tcPr>
          <w:p>
            <w:pPr>
              <w:snapToGrid w:val="0"/>
              <w:spacing w:line="360" w:lineRule="auto"/>
              <w:jc w:val="center"/>
              <w:rPr>
                <w:rFonts w:hint="eastAsia" w:ascii="仿宋" w:hAnsi="仿宋" w:eastAsia="仿宋" w:cs="Times New Roman"/>
                <w:sz w:val="24"/>
                <w:szCs w:val="24"/>
              </w:rPr>
            </w:pPr>
          </w:p>
        </w:tc>
        <w:tc>
          <w:tcPr>
            <w:tcW w:w="1418" w:type="dxa"/>
            <w:vAlign w:val="center"/>
          </w:tcPr>
          <w:p>
            <w:pPr>
              <w:snapToGrid w:val="0"/>
              <w:spacing w:line="360" w:lineRule="auto"/>
              <w:jc w:val="center"/>
              <w:rPr>
                <w:rFonts w:hint="eastAsia" w:ascii="仿宋" w:hAnsi="仿宋" w:eastAsia="仿宋" w:cs="Times New Roman"/>
                <w:sz w:val="24"/>
                <w:szCs w:val="24"/>
              </w:rPr>
            </w:pPr>
          </w:p>
        </w:tc>
        <w:tc>
          <w:tcPr>
            <w:tcW w:w="1275"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151"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2</w:t>
            </w:r>
          </w:p>
        </w:tc>
        <w:tc>
          <w:tcPr>
            <w:tcW w:w="1321" w:type="dxa"/>
            <w:vAlign w:val="center"/>
          </w:tcPr>
          <w:p>
            <w:pPr>
              <w:snapToGrid w:val="0"/>
              <w:spacing w:line="360" w:lineRule="auto"/>
              <w:jc w:val="center"/>
              <w:rPr>
                <w:rFonts w:hint="eastAsia" w:ascii="仿宋" w:hAnsi="仿宋" w:eastAsia="仿宋" w:cs="Times New Roman"/>
                <w:sz w:val="24"/>
                <w:szCs w:val="24"/>
              </w:rPr>
            </w:pPr>
          </w:p>
        </w:tc>
        <w:tc>
          <w:tcPr>
            <w:tcW w:w="1417" w:type="dxa"/>
            <w:vAlign w:val="center"/>
          </w:tcPr>
          <w:p>
            <w:pPr>
              <w:snapToGrid w:val="0"/>
              <w:spacing w:line="360" w:lineRule="auto"/>
              <w:jc w:val="center"/>
              <w:rPr>
                <w:rFonts w:hint="eastAsia" w:ascii="仿宋" w:hAnsi="仿宋" w:eastAsia="仿宋" w:cs="Times New Roman"/>
                <w:sz w:val="24"/>
                <w:szCs w:val="24"/>
              </w:rPr>
            </w:pPr>
          </w:p>
        </w:tc>
        <w:tc>
          <w:tcPr>
            <w:tcW w:w="1418" w:type="dxa"/>
            <w:vAlign w:val="center"/>
          </w:tcPr>
          <w:p>
            <w:pPr>
              <w:snapToGrid w:val="0"/>
              <w:spacing w:line="360" w:lineRule="auto"/>
              <w:jc w:val="center"/>
              <w:rPr>
                <w:rFonts w:hint="eastAsia" w:ascii="仿宋" w:hAnsi="仿宋" w:eastAsia="仿宋" w:cs="Times New Roman"/>
                <w:sz w:val="24"/>
                <w:szCs w:val="24"/>
              </w:rPr>
            </w:pPr>
          </w:p>
        </w:tc>
        <w:tc>
          <w:tcPr>
            <w:tcW w:w="1275"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151"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3</w:t>
            </w:r>
          </w:p>
        </w:tc>
        <w:tc>
          <w:tcPr>
            <w:tcW w:w="1321" w:type="dxa"/>
            <w:vAlign w:val="center"/>
          </w:tcPr>
          <w:p>
            <w:pPr>
              <w:snapToGrid w:val="0"/>
              <w:spacing w:line="360" w:lineRule="auto"/>
              <w:jc w:val="center"/>
              <w:rPr>
                <w:rFonts w:hint="eastAsia" w:ascii="仿宋" w:hAnsi="仿宋" w:eastAsia="仿宋" w:cs="Times New Roman"/>
                <w:sz w:val="24"/>
                <w:szCs w:val="24"/>
              </w:rPr>
            </w:pPr>
          </w:p>
        </w:tc>
        <w:tc>
          <w:tcPr>
            <w:tcW w:w="1417" w:type="dxa"/>
            <w:vAlign w:val="center"/>
          </w:tcPr>
          <w:p>
            <w:pPr>
              <w:snapToGrid w:val="0"/>
              <w:spacing w:line="360" w:lineRule="auto"/>
              <w:jc w:val="center"/>
              <w:rPr>
                <w:rFonts w:hint="eastAsia" w:ascii="仿宋" w:hAnsi="仿宋" w:eastAsia="仿宋" w:cs="Times New Roman"/>
                <w:sz w:val="24"/>
                <w:szCs w:val="24"/>
              </w:rPr>
            </w:pPr>
          </w:p>
        </w:tc>
        <w:tc>
          <w:tcPr>
            <w:tcW w:w="1418" w:type="dxa"/>
            <w:vAlign w:val="center"/>
          </w:tcPr>
          <w:p>
            <w:pPr>
              <w:snapToGrid w:val="0"/>
              <w:spacing w:line="360" w:lineRule="auto"/>
              <w:jc w:val="center"/>
              <w:rPr>
                <w:rFonts w:hint="eastAsia" w:ascii="仿宋" w:hAnsi="仿宋" w:eastAsia="仿宋" w:cs="Times New Roman"/>
                <w:sz w:val="24"/>
                <w:szCs w:val="24"/>
              </w:rPr>
            </w:pPr>
          </w:p>
        </w:tc>
        <w:tc>
          <w:tcPr>
            <w:tcW w:w="1275"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151"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4</w:t>
            </w:r>
          </w:p>
        </w:tc>
        <w:tc>
          <w:tcPr>
            <w:tcW w:w="1321" w:type="dxa"/>
            <w:vAlign w:val="center"/>
          </w:tcPr>
          <w:p>
            <w:pPr>
              <w:snapToGrid w:val="0"/>
              <w:spacing w:line="360" w:lineRule="auto"/>
              <w:jc w:val="center"/>
              <w:rPr>
                <w:rFonts w:hint="eastAsia" w:ascii="仿宋" w:hAnsi="仿宋" w:eastAsia="仿宋" w:cs="Times New Roman"/>
                <w:sz w:val="24"/>
                <w:szCs w:val="24"/>
              </w:rPr>
            </w:pPr>
          </w:p>
        </w:tc>
        <w:tc>
          <w:tcPr>
            <w:tcW w:w="1417" w:type="dxa"/>
            <w:vAlign w:val="center"/>
          </w:tcPr>
          <w:p>
            <w:pPr>
              <w:snapToGrid w:val="0"/>
              <w:spacing w:line="360" w:lineRule="auto"/>
              <w:jc w:val="center"/>
              <w:rPr>
                <w:rFonts w:hint="eastAsia" w:ascii="仿宋" w:hAnsi="仿宋" w:eastAsia="仿宋" w:cs="Times New Roman"/>
                <w:sz w:val="24"/>
                <w:szCs w:val="24"/>
              </w:rPr>
            </w:pPr>
          </w:p>
        </w:tc>
        <w:tc>
          <w:tcPr>
            <w:tcW w:w="1418" w:type="dxa"/>
            <w:vAlign w:val="center"/>
          </w:tcPr>
          <w:p>
            <w:pPr>
              <w:snapToGrid w:val="0"/>
              <w:spacing w:line="360" w:lineRule="auto"/>
              <w:jc w:val="center"/>
              <w:rPr>
                <w:rFonts w:hint="eastAsia" w:ascii="仿宋" w:hAnsi="仿宋" w:eastAsia="仿宋" w:cs="Times New Roman"/>
                <w:sz w:val="24"/>
                <w:szCs w:val="24"/>
              </w:rPr>
            </w:pPr>
          </w:p>
        </w:tc>
        <w:tc>
          <w:tcPr>
            <w:tcW w:w="1275"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151"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hint="eastAsia" w:ascii="仿宋" w:hAnsi="仿宋" w:eastAsia="仿宋" w:cs="Times New Roman"/>
                <w:sz w:val="24"/>
                <w:szCs w:val="24"/>
              </w:rPr>
            </w:pPr>
          </w:p>
        </w:tc>
        <w:tc>
          <w:tcPr>
            <w:tcW w:w="1321" w:type="dxa"/>
            <w:vAlign w:val="center"/>
          </w:tcPr>
          <w:p>
            <w:pPr>
              <w:snapToGrid w:val="0"/>
              <w:spacing w:line="360" w:lineRule="auto"/>
              <w:jc w:val="center"/>
              <w:rPr>
                <w:rFonts w:hint="eastAsia" w:ascii="仿宋" w:hAnsi="仿宋" w:eastAsia="仿宋" w:cs="Times New Roman"/>
                <w:sz w:val="24"/>
                <w:szCs w:val="24"/>
              </w:rPr>
            </w:pPr>
          </w:p>
        </w:tc>
        <w:tc>
          <w:tcPr>
            <w:tcW w:w="1417" w:type="dxa"/>
            <w:vAlign w:val="center"/>
          </w:tcPr>
          <w:p>
            <w:pPr>
              <w:snapToGrid w:val="0"/>
              <w:spacing w:line="360" w:lineRule="auto"/>
              <w:jc w:val="center"/>
              <w:rPr>
                <w:rFonts w:hint="eastAsia" w:ascii="仿宋" w:hAnsi="仿宋" w:eastAsia="仿宋" w:cs="Times New Roman"/>
                <w:sz w:val="24"/>
                <w:szCs w:val="24"/>
              </w:rPr>
            </w:pPr>
          </w:p>
        </w:tc>
        <w:tc>
          <w:tcPr>
            <w:tcW w:w="1418" w:type="dxa"/>
            <w:vAlign w:val="center"/>
          </w:tcPr>
          <w:p>
            <w:pPr>
              <w:snapToGrid w:val="0"/>
              <w:spacing w:line="360" w:lineRule="auto"/>
              <w:jc w:val="center"/>
              <w:rPr>
                <w:rFonts w:hint="eastAsia" w:ascii="仿宋" w:hAnsi="仿宋" w:eastAsia="仿宋" w:cs="Times New Roman"/>
                <w:sz w:val="24"/>
                <w:szCs w:val="24"/>
              </w:rPr>
            </w:pPr>
          </w:p>
        </w:tc>
        <w:tc>
          <w:tcPr>
            <w:tcW w:w="1275" w:type="dxa"/>
            <w:vAlign w:val="center"/>
          </w:tcPr>
          <w:p>
            <w:pPr>
              <w:snapToGrid w:val="0"/>
              <w:spacing w:line="360" w:lineRule="auto"/>
              <w:jc w:val="center"/>
              <w:rPr>
                <w:rFonts w:hint="eastAsia" w:ascii="仿宋" w:hAnsi="仿宋" w:eastAsia="仿宋" w:cs="Times New Roman"/>
                <w:sz w:val="24"/>
                <w:szCs w:val="24"/>
              </w:rPr>
            </w:pPr>
          </w:p>
        </w:tc>
        <w:tc>
          <w:tcPr>
            <w:tcW w:w="1276" w:type="dxa"/>
            <w:vAlign w:val="center"/>
          </w:tcPr>
          <w:p>
            <w:pPr>
              <w:snapToGrid w:val="0"/>
              <w:spacing w:line="360" w:lineRule="auto"/>
              <w:jc w:val="center"/>
              <w:rPr>
                <w:rFonts w:hint="eastAsia" w:ascii="仿宋" w:hAnsi="仿宋" w:eastAsia="仿宋" w:cs="Times New Roman"/>
                <w:sz w:val="24"/>
                <w:szCs w:val="24"/>
              </w:rPr>
            </w:pPr>
          </w:p>
        </w:tc>
        <w:tc>
          <w:tcPr>
            <w:tcW w:w="851" w:type="dxa"/>
            <w:vAlign w:val="center"/>
          </w:tcPr>
          <w:p>
            <w:pPr>
              <w:snapToGrid w:val="0"/>
              <w:spacing w:line="360" w:lineRule="auto"/>
              <w:jc w:val="center"/>
              <w:rPr>
                <w:rFonts w:hint="eastAsia" w:ascii="仿宋" w:hAnsi="仿宋" w:eastAsia="仿宋" w:cs="Times New Roman"/>
                <w:sz w:val="24"/>
                <w:szCs w:val="24"/>
              </w:rPr>
            </w:pPr>
          </w:p>
        </w:tc>
        <w:tc>
          <w:tcPr>
            <w:tcW w:w="1151" w:type="dxa"/>
            <w:vAlign w:val="center"/>
          </w:tcPr>
          <w:p>
            <w:pPr>
              <w:snapToGrid w:val="0"/>
              <w:spacing w:line="360" w:lineRule="auto"/>
              <w:jc w:val="center"/>
              <w:rPr>
                <w:rFonts w:hint="eastAsia"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pPr>
              <w:snapToGrid w:val="0"/>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合计</w:t>
            </w:r>
          </w:p>
        </w:tc>
        <w:tc>
          <w:tcPr>
            <w:tcW w:w="8709" w:type="dxa"/>
            <w:gridSpan w:val="7"/>
            <w:vAlign w:val="center"/>
          </w:tcPr>
          <w:p>
            <w:pPr>
              <w:snapToGrid w:val="0"/>
              <w:spacing w:line="360" w:lineRule="auto"/>
              <w:jc w:val="center"/>
              <w:rPr>
                <w:rFonts w:hint="eastAsia" w:ascii="仿宋" w:hAnsi="仿宋" w:eastAsia="仿宋" w:cs="Times New Roman"/>
                <w:sz w:val="24"/>
                <w:szCs w:val="24"/>
              </w:rPr>
            </w:pPr>
          </w:p>
        </w:tc>
      </w:tr>
    </w:tbl>
    <w:p>
      <w:pPr>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pPr>
        <w:widowControl/>
        <w:spacing w:line="360" w:lineRule="auto"/>
        <w:jc w:val="left"/>
        <w:rPr>
          <w:rFonts w:hint="eastAsia" w:ascii="仿宋" w:hAnsi="仿宋" w:eastAsia="仿宋" w:cs="Times New Roman"/>
          <w:sz w:val="24"/>
          <w:szCs w:val="24"/>
        </w:rPr>
      </w:pPr>
      <w:r>
        <w:rPr>
          <w:rFonts w:ascii="仿宋" w:hAnsi="仿宋" w:eastAsia="仿宋" w:cs="Times New Roman"/>
          <w:sz w:val="24"/>
          <w:szCs w:val="24"/>
        </w:rPr>
        <w:br w:type="page"/>
      </w:r>
    </w:p>
    <w:p>
      <w:pPr>
        <w:spacing w:line="360" w:lineRule="auto"/>
        <w:rPr>
          <w:rFonts w:hint="eastAsia" w:ascii="仿宋" w:hAnsi="仿宋" w:eastAsia="仿宋" w:cs="宋体"/>
          <w:kern w:val="0"/>
          <w:sz w:val="24"/>
          <w:szCs w:val="24"/>
        </w:rPr>
      </w:pPr>
      <w:r>
        <w:rPr>
          <w:rFonts w:ascii="仿宋" w:hAnsi="仿宋" w:eastAsia="仿宋" w:cs="宋体"/>
          <w:kern w:val="0"/>
          <w:sz w:val="24"/>
          <w:szCs w:val="24"/>
        </w:rPr>
        <w:t>附件9</w:t>
      </w:r>
    </w:p>
    <w:p>
      <w:pPr>
        <w:spacing w:line="360" w:lineRule="auto"/>
        <w:jc w:val="center"/>
        <w:rPr>
          <w:rFonts w:hint="eastAsia" w:ascii="仿宋" w:hAnsi="仿宋" w:eastAsia="仿宋" w:cs="宋体"/>
          <w:b/>
          <w:sz w:val="24"/>
          <w:szCs w:val="24"/>
          <w:lang w:bidi="ar"/>
        </w:rPr>
      </w:pPr>
      <w:bookmarkStart w:id="94" w:name="_Hlk130369611"/>
      <w:r>
        <w:rPr>
          <w:rFonts w:hint="eastAsia" w:ascii="仿宋" w:hAnsi="仿宋" w:eastAsia="仿宋" w:cs="宋体"/>
          <w:b/>
          <w:sz w:val="24"/>
          <w:szCs w:val="24"/>
          <w:lang w:bidi="ar"/>
        </w:rPr>
        <w:t>供应商信用承诺书</w:t>
      </w:r>
    </w:p>
    <w:bookmarkEnd w:id="94"/>
    <w:p>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为营造公开、公平、公正的交易环境，树立诚信守法的投标人形象，本人代表本单位作出以下承诺：</w:t>
      </w:r>
    </w:p>
    <w:p>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二、严格依照国家和省、市、县关于采购等方面的法律、法规、规章、规范性文件，参加投标活动；积极履行社会责任，促进廉政建设；</w:t>
      </w:r>
    </w:p>
    <w:p>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三、自我约束、自我管理，守合同、重信用，不参与围标串标、弄虚作假、骗取中标、干扰评标、违约毁约、恶意投诉等行为，主动维护招标投标的良好秩序；</w:t>
      </w:r>
    </w:p>
    <w:p>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四、如发生违法违规或不良行为或存在其他法律法规对招标投标行为予以限制的情形，自愿接受采购有关行政监督部门依法给予的行政处罚（处理），并依法承担相应的法律责任；</w:t>
      </w:r>
    </w:p>
    <w:p>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五、自觉接受政府部门、行业组织、社会公众、新闻舆论等监督；</w:t>
      </w:r>
    </w:p>
    <w:p>
      <w:pPr>
        <w:spacing w:line="360" w:lineRule="auto"/>
        <w:ind w:firstLine="480" w:firstLineChars="2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六、上述承诺已向本单位员工作了宣传教育；</w:t>
      </w:r>
    </w:p>
    <w:p>
      <w:pPr>
        <w:spacing w:line="360" w:lineRule="auto"/>
        <w:ind w:firstLine="482" w:firstLineChars="200"/>
        <w:rPr>
          <w:rFonts w:hint="eastAsia" w:ascii="仿宋" w:hAnsi="仿宋" w:eastAsia="仿宋" w:cs="宋体"/>
          <w:kern w:val="0"/>
          <w:sz w:val="24"/>
          <w:szCs w:val="24"/>
          <w:lang w:val="zh-CN"/>
        </w:rPr>
      </w:pPr>
      <w:r>
        <w:rPr>
          <w:rFonts w:hint="eastAsia" w:ascii="仿宋" w:hAnsi="仿宋" w:eastAsia="仿宋" w:cs="宋体"/>
          <w:b/>
          <w:kern w:val="0"/>
          <w:sz w:val="24"/>
          <w:szCs w:val="24"/>
          <w:lang w:val="zh-CN" w:bidi="ar"/>
        </w:rPr>
        <w:t>如有违反上述承诺的不良行为，本单位同意将其予以上网公示。</w:t>
      </w:r>
    </w:p>
    <w:p>
      <w:pPr>
        <w:spacing w:line="360" w:lineRule="auto"/>
        <w:ind w:firstLine="2640" w:firstLineChars="1100"/>
        <w:rPr>
          <w:rFonts w:hint="eastAsia" w:ascii="仿宋" w:hAnsi="仿宋" w:eastAsia="仿宋" w:cs="宋体"/>
          <w:kern w:val="0"/>
          <w:sz w:val="24"/>
          <w:szCs w:val="24"/>
          <w:u w:val="single"/>
          <w:lang w:val="zh-CN"/>
        </w:rPr>
      </w:pPr>
      <w:r>
        <w:rPr>
          <w:rFonts w:hint="eastAsia" w:ascii="仿宋" w:hAnsi="仿宋" w:eastAsia="仿宋" w:cs="宋体"/>
          <w:kern w:val="0"/>
          <w:sz w:val="24"/>
          <w:szCs w:val="24"/>
          <w:lang w:val="zh-CN" w:bidi="ar"/>
        </w:rPr>
        <w:t>投标供应商全称(盖公章)：</w:t>
      </w:r>
    </w:p>
    <w:p>
      <w:pPr>
        <w:spacing w:line="360" w:lineRule="auto"/>
        <w:ind w:firstLine="2640" w:firstLineChars="1100"/>
        <w:rPr>
          <w:rFonts w:hint="eastAsia" w:ascii="仿宋" w:hAnsi="仿宋" w:eastAsia="仿宋" w:cs="宋体"/>
          <w:sz w:val="24"/>
          <w:szCs w:val="24"/>
          <w:u w:val="single"/>
          <w:lang w:val="zh-CN"/>
        </w:rPr>
      </w:pPr>
      <w:r>
        <w:rPr>
          <w:rFonts w:hint="eastAsia" w:ascii="仿宋" w:hAnsi="仿宋" w:eastAsia="仿宋" w:cs="宋体"/>
          <w:kern w:val="0"/>
          <w:sz w:val="24"/>
          <w:szCs w:val="24"/>
          <w:lang w:val="zh-CN" w:bidi="ar"/>
        </w:rPr>
        <w:t>法定代表人（签字或盖章）：</w:t>
      </w:r>
    </w:p>
    <w:p>
      <w:pPr>
        <w:spacing w:line="360" w:lineRule="auto"/>
        <w:ind w:firstLine="2640" w:firstLineChars="1100"/>
        <w:rPr>
          <w:rFonts w:hint="eastAsia" w:ascii="仿宋" w:hAnsi="仿宋" w:eastAsia="仿宋" w:cs="宋体"/>
          <w:kern w:val="0"/>
          <w:sz w:val="24"/>
          <w:szCs w:val="24"/>
          <w:lang w:val="zh-CN"/>
        </w:rPr>
      </w:pPr>
      <w:r>
        <w:rPr>
          <w:rFonts w:hint="eastAsia" w:ascii="仿宋" w:hAnsi="仿宋" w:eastAsia="仿宋" w:cs="宋体"/>
          <w:kern w:val="0"/>
          <w:sz w:val="24"/>
          <w:szCs w:val="24"/>
          <w:lang w:val="zh-CN" w:bidi="ar"/>
        </w:rPr>
        <w:t>时间：  年  月   日</w:t>
      </w:r>
    </w:p>
    <w:p>
      <w:pPr>
        <w:widowControl/>
        <w:spacing w:line="360" w:lineRule="auto"/>
        <w:jc w:val="left"/>
        <w:rPr>
          <w:rFonts w:hint="eastAsia" w:ascii="仿宋" w:hAnsi="仿宋" w:eastAsia="仿宋" w:cs="Times New Roman"/>
          <w:sz w:val="24"/>
          <w:szCs w:val="24"/>
        </w:rPr>
      </w:pPr>
      <w:r>
        <w:rPr>
          <w:rFonts w:ascii="仿宋" w:hAnsi="仿宋" w:eastAsia="仿宋" w:cs="Times New Roman"/>
          <w:sz w:val="24"/>
          <w:szCs w:val="24"/>
        </w:rPr>
        <w:br w:type="page"/>
      </w:r>
    </w:p>
    <w:p>
      <w:pPr>
        <w:spacing w:line="360" w:lineRule="auto"/>
        <w:jc w:val="left"/>
        <w:rPr>
          <w:rFonts w:hint="eastAsia" w:ascii="仿宋" w:hAnsi="仿宋" w:eastAsia="仿宋" w:cs="Times New Roman"/>
          <w:bCs/>
          <w:sz w:val="24"/>
          <w:szCs w:val="24"/>
          <w:lang w:bidi="ar"/>
        </w:rPr>
      </w:pPr>
      <w:r>
        <w:rPr>
          <w:rFonts w:ascii="仿宋" w:hAnsi="仿宋" w:eastAsia="仿宋" w:cs="Times New Roman"/>
          <w:bCs/>
          <w:sz w:val="24"/>
          <w:szCs w:val="24"/>
          <w:lang w:bidi="ar"/>
        </w:rPr>
        <w:t>附件1</w:t>
      </w:r>
      <w:r>
        <w:rPr>
          <w:rFonts w:hint="eastAsia" w:ascii="仿宋" w:hAnsi="仿宋" w:eastAsia="仿宋" w:cs="Times New Roman"/>
          <w:bCs/>
          <w:sz w:val="24"/>
          <w:szCs w:val="24"/>
          <w:lang w:bidi="ar"/>
        </w:rPr>
        <w:t>0</w:t>
      </w:r>
    </w:p>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质疑函范本</w:t>
      </w:r>
    </w:p>
    <w:p>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一、质疑供应商基本信息</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质疑供应商：</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地址：邮编：</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联系人：联系电话：</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授权代表：</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联系电话：</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地址：邮编：</w:t>
      </w:r>
    </w:p>
    <w:p>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二、质疑项目基本情况</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质疑项目的名称：</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质疑项目的编号：包号：</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采购人名称：</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采购文件获取日期：</w:t>
      </w:r>
    </w:p>
    <w:p>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三、质疑事项具体内容</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质疑事项1：</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事实依据：</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法律依据：</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质疑事项2</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w:t>
      </w:r>
    </w:p>
    <w:p>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四、与质疑事项相关的质疑请求</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请求：</w:t>
      </w:r>
    </w:p>
    <w:p>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 xml:space="preserve">签字(签章)：                   公章：                      </w:t>
      </w:r>
    </w:p>
    <w:p>
      <w:pPr>
        <w:spacing w:line="360" w:lineRule="auto"/>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 xml:space="preserve">日期：    </w:t>
      </w:r>
    </w:p>
    <w:p>
      <w:pPr>
        <w:spacing w:line="360" w:lineRule="auto"/>
        <w:rPr>
          <w:rFonts w:hint="eastAsia" w:ascii="仿宋" w:hAnsi="仿宋" w:eastAsia="仿宋" w:cs="宋体"/>
          <w:kern w:val="0"/>
          <w:sz w:val="24"/>
          <w:szCs w:val="24"/>
          <w:lang w:val="zh-CN" w:bidi="ar"/>
        </w:rPr>
      </w:pPr>
    </w:p>
    <w:p>
      <w:pPr>
        <w:spacing w:line="360" w:lineRule="auto"/>
        <w:rPr>
          <w:rFonts w:hint="eastAsia" w:ascii="仿宋" w:hAnsi="仿宋" w:eastAsia="仿宋" w:cs="宋体"/>
          <w:b/>
          <w:bCs/>
          <w:kern w:val="0"/>
          <w:sz w:val="24"/>
          <w:szCs w:val="24"/>
          <w:lang w:val="zh-CN" w:bidi="ar"/>
        </w:rPr>
      </w:pPr>
      <w:r>
        <w:rPr>
          <w:rFonts w:hint="eastAsia" w:ascii="仿宋" w:hAnsi="仿宋" w:eastAsia="仿宋" w:cs="宋体"/>
          <w:b/>
          <w:bCs/>
          <w:kern w:val="0"/>
          <w:sz w:val="24"/>
          <w:szCs w:val="24"/>
          <w:lang w:val="zh-CN" w:bidi="ar"/>
        </w:rPr>
        <w:t>质疑函制作说明：</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1.供应商提出质疑时，应提交质疑函和必要的证明材料。</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3.质疑供应商若对项目的某一分包进行质疑，质疑函中应列明具体分包号。</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4.质疑函的质疑事项应具体、明确，并有必要的事实依据和法律依据。</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5.质疑函的质疑请求应与质疑事项相关。</w:t>
      </w:r>
    </w:p>
    <w:p>
      <w:pPr>
        <w:spacing w:line="360" w:lineRule="auto"/>
        <w:ind w:firstLine="480" w:firstLineChars="200"/>
        <w:rPr>
          <w:rFonts w:hint="eastAsia" w:ascii="仿宋" w:hAnsi="仿宋" w:eastAsia="仿宋" w:cs="宋体"/>
          <w:kern w:val="0"/>
          <w:sz w:val="24"/>
          <w:szCs w:val="24"/>
          <w:lang w:val="zh-CN" w:bidi="ar"/>
        </w:rPr>
      </w:pPr>
      <w:r>
        <w:rPr>
          <w:rFonts w:hint="eastAsia" w:ascii="仿宋" w:hAnsi="仿宋" w:eastAsia="仿宋" w:cs="宋体"/>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rPr>
          <w:rFonts w:hint="eastAsia" w:ascii="仿宋" w:hAnsi="仿宋" w:eastAsia="仿宋" w:cs="宋体"/>
          <w:kern w:val="0"/>
          <w:sz w:val="24"/>
          <w:szCs w:val="24"/>
          <w:lang w:val="zh-CN" w:bidi="ar"/>
        </w:rPr>
      </w:pPr>
    </w:p>
    <w:p>
      <w:pPr>
        <w:widowControl/>
        <w:spacing w:line="360" w:lineRule="auto"/>
        <w:jc w:val="left"/>
        <w:rPr>
          <w:rFonts w:hint="eastAsia" w:ascii="仿宋" w:hAnsi="仿宋" w:eastAsia="仿宋"/>
          <w:sz w:val="24"/>
          <w:szCs w:val="24"/>
        </w:rPr>
      </w:pPr>
      <w:r>
        <w:rPr>
          <w:rFonts w:ascii="仿宋" w:hAnsi="仿宋" w:eastAsia="仿宋"/>
          <w:sz w:val="24"/>
          <w:szCs w:val="24"/>
        </w:rPr>
        <w:br w:type="page"/>
      </w:r>
    </w:p>
    <w:p>
      <w:pPr>
        <w:widowControl/>
        <w:spacing w:line="360" w:lineRule="auto"/>
        <w:jc w:val="center"/>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采购文件领购申请表</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pPr>
        <w:widowControl/>
        <w:spacing w:line="360" w:lineRule="auto"/>
        <w:jc w:val="left"/>
        <w:rPr>
          <w:rFonts w:hint="eastAsia" w:ascii="仿宋" w:hAnsi="仿宋" w:eastAsia="仿宋" w:cs="宋体"/>
          <w:kern w:val="0"/>
          <w:sz w:val="24"/>
          <w:szCs w:val="24"/>
        </w:rPr>
      </w:pPr>
      <w:r>
        <w:rPr>
          <w:rFonts w:hint="eastAsia" w:ascii="仿宋" w:hAnsi="仿宋" w:eastAsia="仿宋" w:cs="宋体"/>
          <w:color w:val="000000"/>
          <w:kern w:val="0"/>
          <w:sz w:val="24"/>
          <w:szCs w:val="24"/>
        </w:rPr>
        <w:t>项目编号：</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JSHL-DL-        </w:t>
      </w:r>
      <w:r>
        <w:rPr>
          <w:rFonts w:hint="eastAsia" w:ascii="仿宋" w:hAnsi="仿宋" w:eastAsia="仿宋" w:cs="宋体"/>
          <w:b/>
          <w:color w:val="000000"/>
          <w:kern w:val="0"/>
          <w:sz w:val="24"/>
          <w:szCs w:val="24"/>
        </w:rPr>
        <w:t>]</w:t>
      </w:r>
    </w:p>
    <w:tbl>
      <w:tblPr>
        <w:tblStyle w:val="14"/>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仿宋" w:hAnsi="仿宋" w:eastAsia="仿宋" w:cs="宋体"/>
                <w:i/>
                <w:color w:val="000000"/>
                <w:kern w:val="0"/>
                <w:sz w:val="24"/>
                <w:szCs w:val="24"/>
              </w:rPr>
            </w:pPr>
            <w:r>
              <w:rPr>
                <w:rFonts w:hint="eastAsia" w:ascii="仿宋" w:hAnsi="仿宋" w:eastAsia="仿宋" w:cs="宋体"/>
                <w:b/>
                <w:color w:val="000000"/>
                <w:kern w:val="0"/>
                <w:sz w:val="24"/>
                <w:szCs w:val="24"/>
              </w:rPr>
              <w:t>投标单位（供应商）全称（公章）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pPr>
              <w:widowControl/>
              <w:spacing w:line="360" w:lineRule="auto"/>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统一社会信用代码：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现委托</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（被授权人的姓名）向</w:t>
            </w:r>
            <w:r>
              <w:rPr>
                <w:rFonts w:hint="eastAsia" w:ascii="仿宋" w:hAnsi="仿宋" w:eastAsia="仿宋" w:cs="宋体"/>
                <w:color w:val="000000"/>
                <w:kern w:val="0"/>
                <w:sz w:val="24"/>
                <w:szCs w:val="24"/>
                <w:u w:val="single"/>
              </w:rPr>
              <w:t>江苏华凌科技咨询有限公司</w:t>
            </w:r>
            <w:r>
              <w:rPr>
                <w:rFonts w:hint="eastAsia" w:ascii="仿宋" w:hAnsi="仿宋" w:eastAsia="仿宋" w:cs="宋体"/>
                <w:color w:val="000000"/>
                <w:kern w:val="0"/>
                <w:sz w:val="24"/>
                <w:szCs w:val="24"/>
              </w:rPr>
              <w:t>领购招标文件工作。项目招投标过程中答疑补充等相关文件都须投标单位在相关网站上下载（或向代理机构获取），本单位会及时关注相关网站，以防遗漏，并承诺不以此为理由提出质疑。</w:t>
            </w:r>
          </w:p>
          <w:p>
            <w:pPr>
              <w:widowControl/>
              <w:spacing w:line="360" w:lineRule="auto"/>
              <w:ind w:firstLine="420"/>
              <w:jc w:val="left"/>
              <w:rPr>
                <w:rFonts w:hint="eastAsia" w:ascii="仿宋" w:hAnsi="仿宋" w:eastAsia="仿宋" w:cs="宋体"/>
                <w:b/>
                <w:color w:val="000000"/>
                <w:kern w:val="0"/>
                <w:sz w:val="24"/>
                <w:szCs w:val="24"/>
              </w:rPr>
            </w:pPr>
            <w:r>
              <w:rPr>
                <w:rFonts w:hint="eastAsia" w:ascii="仿宋" w:hAnsi="仿宋" w:eastAsia="仿宋" w:cs="宋体"/>
                <w:b/>
                <w:color w:val="000000"/>
                <w:kern w:val="0"/>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被授权人姓名：</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联系电话：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二代身份证号码：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接收招标文件指定电子邮箱：</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b/>
                <w:bCs/>
                <w:color w:val="000000"/>
                <w:kern w:val="0"/>
                <w:sz w:val="24"/>
                <w:szCs w:val="24"/>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领购时间：</w:t>
            </w:r>
          </w:p>
          <w:p>
            <w:pPr>
              <w:widowControl/>
              <w:spacing w:line="360" w:lineRule="auto"/>
              <w:ind w:firstLine="1320" w:firstLineChars="55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被授权人签字：</w:t>
            </w:r>
          </w:p>
        </w:tc>
      </w:tr>
    </w:tbl>
    <w:p>
      <w:pPr>
        <w:spacing w:line="360" w:lineRule="auto"/>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*注：投标单位应完整填写表格，并对内容的真实性和有效性负全部责任。</w:t>
      </w:r>
    </w:p>
    <w:p>
      <w:pPr>
        <w:spacing w:line="360" w:lineRule="auto"/>
        <w:rPr>
          <w:rFonts w:hint="eastAsia" w:ascii="仿宋" w:hAnsi="仿宋" w:eastAsia="仿宋"/>
          <w:sz w:val="24"/>
          <w:szCs w:val="24"/>
        </w:rPr>
      </w:pPr>
      <w:r>
        <w:rPr>
          <w:rFonts w:hint="eastAsia" w:ascii="仿宋" w:hAnsi="仿宋" w:eastAsia="仿宋" w:cs="宋体"/>
          <w:b/>
          <w:bCs/>
          <w:color w:val="000000"/>
          <w:kern w:val="0"/>
          <w:sz w:val="24"/>
          <w:szCs w:val="24"/>
        </w:rPr>
        <w:t>附件：营业执照并加盖公章。</w:t>
      </w:r>
    </w:p>
    <w:p>
      <w:pPr>
        <w:spacing w:line="360" w:lineRule="auto"/>
        <w:rPr>
          <w:rFonts w:hint="eastAsia" w:ascii="仿宋" w:hAnsi="仿宋" w:eastAsia="仿宋"/>
          <w:sz w:val="24"/>
          <w:szCs w:val="24"/>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1"/>
              <w:jc w:val="center"/>
              <w:rPr>
                <w:rFonts w:hint="eastAsia"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24</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34</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ODIyOTViY2JmMDFjODM1NjZhOGRlYTBmODBhYzMifQ=="/>
  </w:docVars>
  <w:rsids>
    <w:rsidRoot w:val="000E6F62"/>
    <w:rsid w:val="0000098A"/>
    <w:rsid w:val="00004E97"/>
    <w:rsid w:val="00005798"/>
    <w:rsid w:val="00012428"/>
    <w:rsid w:val="00013918"/>
    <w:rsid w:val="00013DCD"/>
    <w:rsid w:val="00014E20"/>
    <w:rsid w:val="000151F1"/>
    <w:rsid w:val="00015B78"/>
    <w:rsid w:val="00020E06"/>
    <w:rsid w:val="000227D7"/>
    <w:rsid w:val="00022DCC"/>
    <w:rsid w:val="00027DF4"/>
    <w:rsid w:val="00031B49"/>
    <w:rsid w:val="0003356C"/>
    <w:rsid w:val="0003374E"/>
    <w:rsid w:val="00036BEA"/>
    <w:rsid w:val="00036F61"/>
    <w:rsid w:val="00040ADA"/>
    <w:rsid w:val="00047C97"/>
    <w:rsid w:val="00050DB4"/>
    <w:rsid w:val="000518D6"/>
    <w:rsid w:val="00053368"/>
    <w:rsid w:val="0005407A"/>
    <w:rsid w:val="00055922"/>
    <w:rsid w:val="00057092"/>
    <w:rsid w:val="000575C2"/>
    <w:rsid w:val="00063A5B"/>
    <w:rsid w:val="00063C87"/>
    <w:rsid w:val="00065F90"/>
    <w:rsid w:val="00075A32"/>
    <w:rsid w:val="000767AB"/>
    <w:rsid w:val="00080100"/>
    <w:rsid w:val="00082610"/>
    <w:rsid w:val="00086D68"/>
    <w:rsid w:val="0009178F"/>
    <w:rsid w:val="00091863"/>
    <w:rsid w:val="00092534"/>
    <w:rsid w:val="00096B3F"/>
    <w:rsid w:val="000A05EE"/>
    <w:rsid w:val="000A3992"/>
    <w:rsid w:val="000B3511"/>
    <w:rsid w:val="000B5552"/>
    <w:rsid w:val="000B5C05"/>
    <w:rsid w:val="000B7508"/>
    <w:rsid w:val="000C5004"/>
    <w:rsid w:val="000D2FB9"/>
    <w:rsid w:val="000D395B"/>
    <w:rsid w:val="000E0DB6"/>
    <w:rsid w:val="000E0E7A"/>
    <w:rsid w:val="000E6F62"/>
    <w:rsid w:val="000F1CD4"/>
    <w:rsid w:val="000F4D77"/>
    <w:rsid w:val="000F6D21"/>
    <w:rsid w:val="001033D4"/>
    <w:rsid w:val="00105E58"/>
    <w:rsid w:val="0011100F"/>
    <w:rsid w:val="00111362"/>
    <w:rsid w:val="001113EE"/>
    <w:rsid w:val="00111BCB"/>
    <w:rsid w:val="0011268C"/>
    <w:rsid w:val="0011379A"/>
    <w:rsid w:val="0011414A"/>
    <w:rsid w:val="00124729"/>
    <w:rsid w:val="00125111"/>
    <w:rsid w:val="00126B62"/>
    <w:rsid w:val="001336FE"/>
    <w:rsid w:val="001370AA"/>
    <w:rsid w:val="00142439"/>
    <w:rsid w:val="001464D8"/>
    <w:rsid w:val="00150486"/>
    <w:rsid w:val="0015162F"/>
    <w:rsid w:val="001559F8"/>
    <w:rsid w:val="00155CE2"/>
    <w:rsid w:val="00161BF1"/>
    <w:rsid w:val="00162B16"/>
    <w:rsid w:val="0016549D"/>
    <w:rsid w:val="001666EB"/>
    <w:rsid w:val="001668B9"/>
    <w:rsid w:val="00170854"/>
    <w:rsid w:val="001713C6"/>
    <w:rsid w:val="001722E3"/>
    <w:rsid w:val="00174A37"/>
    <w:rsid w:val="00175215"/>
    <w:rsid w:val="00175C52"/>
    <w:rsid w:val="00177D2B"/>
    <w:rsid w:val="001822BA"/>
    <w:rsid w:val="001853E7"/>
    <w:rsid w:val="00185807"/>
    <w:rsid w:val="00185A07"/>
    <w:rsid w:val="001860DC"/>
    <w:rsid w:val="00191EAD"/>
    <w:rsid w:val="00192B1F"/>
    <w:rsid w:val="00197311"/>
    <w:rsid w:val="001A3364"/>
    <w:rsid w:val="001A4A71"/>
    <w:rsid w:val="001A4F4D"/>
    <w:rsid w:val="001A5C2F"/>
    <w:rsid w:val="001A6166"/>
    <w:rsid w:val="001B0CE9"/>
    <w:rsid w:val="001B11E9"/>
    <w:rsid w:val="001B1C4D"/>
    <w:rsid w:val="001B527E"/>
    <w:rsid w:val="001B7885"/>
    <w:rsid w:val="001B7E64"/>
    <w:rsid w:val="001D5CFB"/>
    <w:rsid w:val="001D7463"/>
    <w:rsid w:val="001E36E4"/>
    <w:rsid w:val="001E610D"/>
    <w:rsid w:val="001E66C7"/>
    <w:rsid w:val="001E6ABF"/>
    <w:rsid w:val="001E76CF"/>
    <w:rsid w:val="001E7C03"/>
    <w:rsid w:val="00201184"/>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3998"/>
    <w:rsid w:val="0024599D"/>
    <w:rsid w:val="00253275"/>
    <w:rsid w:val="00261194"/>
    <w:rsid w:val="002614FD"/>
    <w:rsid w:val="00261F05"/>
    <w:rsid w:val="0026546C"/>
    <w:rsid w:val="00265524"/>
    <w:rsid w:val="00265FCF"/>
    <w:rsid w:val="002747B9"/>
    <w:rsid w:val="00275FC1"/>
    <w:rsid w:val="00277908"/>
    <w:rsid w:val="0028127F"/>
    <w:rsid w:val="002820A5"/>
    <w:rsid w:val="002834A0"/>
    <w:rsid w:val="0028408A"/>
    <w:rsid w:val="00286315"/>
    <w:rsid w:val="00287BC2"/>
    <w:rsid w:val="00290C3E"/>
    <w:rsid w:val="00297678"/>
    <w:rsid w:val="002A0E45"/>
    <w:rsid w:val="002A5092"/>
    <w:rsid w:val="002C1A95"/>
    <w:rsid w:val="002C2496"/>
    <w:rsid w:val="002D014C"/>
    <w:rsid w:val="002D0159"/>
    <w:rsid w:val="002D2023"/>
    <w:rsid w:val="002D308A"/>
    <w:rsid w:val="002E0858"/>
    <w:rsid w:val="002E1561"/>
    <w:rsid w:val="002E71EE"/>
    <w:rsid w:val="002E7CB3"/>
    <w:rsid w:val="002F6ED2"/>
    <w:rsid w:val="003038AA"/>
    <w:rsid w:val="00306363"/>
    <w:rsid w:val="00307902"/>
    <w:rsid w:val="00317BB1"/>
    <w:rsid w:val="00317E31"/>
    <w:rsid w:val="003202A5"/>
    <w:rsid w:val="00320D57"/>
    <w:rsid w:val="00324B9A"/>
    <w:rsid w:val="00325C54"/>
    <w:rsid w:val="00326203"/>
    <w:rsid w:val="00334536"/>
    <w:rsid w:val="00334DA9"/>
    <w:rsid w:val="00337579"/>
    <w:rsid w:val="0034086C"/>
    <w:rsid w:val="00342634"/>
    <w:rsid w:val="00347A5A"/>
    <w:rsid w:val="0036139F"/>
    <w:rsid w:val="0036152E"/>
    <w:rsid w:val="00365C6C"/>
    <w:rsid w:val="0036715D"/>
    <w:rsid w:val="003672DB"/>
    <w:rsid w:val="003700F4"/>
    <w:rsid w:val="00372164"/>
    <w:rsid w:val="00374C1B"/>
    <w:rsid w:val="003759EC"/>
    <w:rsid w:val="00375B89"/>
    <w:rsid w:val="00377622"/>
    <w:rsid w:val="00385A02"/>
    <w:rsid w:val="003862A9"/>
    <w:rsid w:val="00392718"/>
    <w:rsid w:val="00392ADA"/>
    <w:rsid w:val="00392E5B"/>
    <w:rsid w:val="003930C1"/>
    <w:rsid w:val="00393D97"/>
    <w:rsid w:val="003A541F"/>
    <w:rsid w:val="003A6A4F"/>
    <w:rsid w:val="003B4D50"/>
    <w:rsid w:val="003B7377"/>
    <w:rsid w:val="003C6652"/>
    <w:rsid w:val="003C7835"/>
    <w:rsid w:val="003D594B"/>
    <w:rsid w:val="003E02A1"/>
    <w:rsid w:val="003E3426"/>
    <w:rsid w:val="003F083D"/>
    <w:rsid w:val="003F231F"/>
    <w:rsid w:val="00401F5D"/>
    <w:rsid w:val="0040225D"/>
    <w:rsid w:val="00403B80"/>
    <w:rsid w:val="00407863"/>
    <w:rsid w:val="004135A5"/>
    <w:rsid w:val="00416009"/>
    <w:rsid w:val="004164E4"/>
    <w:rsid w:val="004204C9"/>
    <w:rsid w:val="00421B7B"/>
    <w:rsid w:val="00423225"/>
    <w:rsid w:val="00431D89"/>
    <w:rsid w:val="004341FD"/>
    <w:rsid w:val="00434385"/>
    <w:rsid w:val="004348E1"/>
    <w:rsid w:val="004400FF"/>
    <w:rsid w:val="004407CE"/>
    <w:rsid w:val="004437C6"/>
    <w:rsid w:val="00443B99"/>
    <w:rsid w:val="00451BDB"/>
    <w:rsid w:val="004601D7"/>
    <w:rsid w:val="004640D7"/>
    <w:rsid w:val="00467212"/>
    <w:rsid w:val="004721D5"/>
    <w:rsid w:val="004751B1"/>
    <w:rsid w:val="00476E76"/>
    <w:rsid w:val="00476F77"/>
    <w:rsid w:val="00482923"/>
    <w:rsid w:val="004829F7"/>
    <w:rsid w:val="00486452"/>
    <w:rsid w:val="00494F68"/>
    <w:rsid w:val="004A115E"/>
    <w:rsid w:val="004A2204"/>
    <w:rsid w:val="004A511A"/>
    <w:rsid w:val="004A557C"/>
    <w:rsid w:val="004B06C2"/>
    <w:rsid w:val="004B37AE"/>
    <w:rsid w:val="004B622B"/>
    <w:rsid w:val="004C43F3"/>
    <w:rsid w:val="004D14F1"/>
    <w:rsid w:val="004D2635"/>
    <w:rsid w:val="004D469A"/>
    <w:rsid w:val="004D4E65"/>
    <w:rsid w:val="004D6C61"/>
    <w:rsid w:val="004E1EB9"/>
    <w:rsid w:val="004E28E0"/>
    <w:rsid w:val="004E3AB1"/>
    <w:rsid w:val="004E42DF"/>
    <w:rsid w:val="004E58DC"/>
    <w:rsid w:val="004E5B84"/>
    <w:rsid w:val="004F2EAC"/>
    <w:rsid w:val="004F4C67"/>
    <w:rsid w:val="004F7F2F"/>
    <w:rsid w:val="00503209"/>
    <w:rsid w:val="00503A0C"/>
    <w:rsid w:val="00505F22"/>
    <w:rsid w:val="0051378A"/>
    <w:rsid w:val="00515D5B"/>
    <w:rsid w:val="005201FA"/>
    <w:rsid w:val="00524FB0"/>
    <w:rsid w:val="00527624"/>
    <w:rsid w:val="00532A6C"/>
    <w:rsid w:val="005424AE"/>
    <w:rsid w:val="005444C5"/>
    <w:rsid w:val="00544B8F"/>
    <w:rsid w:val="0054629F"/>
    <w:rsid w:val="00546F31"/>
    <w:rsid w:val="005612A7"/>
    <w:rsid w:val="00561D55"/>
    <w:rsid w:val="005622F6"/>
    <w:rsid w:val="0056356D"/>
    <w:rsid w:val="00564475"/>
    <w:rsid w:val="005653B6"/>
    <w:rsid w:val="00566096"/>
    <w:rsid w:val="0057011D"/>
    <w:rsid w:val="00571081"/>
    <w:rsid w:val="00572285"/>
    <w:rsid w:val="00572EBD"/>
    <w:rsid w:val="0057483E"/>
    <w:rsid w:val="00575544"/>
    <w:rsid w:val="00577F45"/>
    <w:rsid w:val="00587C6A"/>
    <w:rsid w:val="00591213"/>
    <w:rsid w:val="00591B9F"/>
    <w:rsid w:val="005930C7"/>
    <w:rsid w:val="005A1859"/>
    <w:rsid w:val="005A319D"/>
    <w:rsid w:val="005A38BD"/>
    <w:rsid w:val="005A5307"/>
    <w:rsid w:val="005A6FA6"/>
    <w:rsid w:val="005B7637"/>
    <w:rsid w:val="005C0B6A"/>
    <w:rsid w:val="005C28A8"/>
    <w:rsid w:val="005D7B1E"/>
    <w:rsid w:val="005F046F"/>
    <w:rsid w:val="005F375E"/>
    <w:rsid w:val="005F5707"/>
    <w:rsid w:val="005F78A6"/>
    <w:rsid w:val="005F7A65"/>
    <w:rsid w:val="006012FB"/>
    <w:rsid w:val="006016D7"/>
    <w:rsid w:val="00604DDE"/>
    <w:rsid w:val="00605498"/>
    <w:rsid w:val="00607375"/>
    <w:rsid w:val="00610774"/>
    <w:rsid w:val="00614E51"/>
    <w:rsid w:val="00615533"/>
    <w:rsid w:val="006165F5"/>
    <w:rsid w:val="006213BD"/>
    <w:rsid w:val="00621708"/>
    <w:rsid w:val="00622680"/>
    <w:rsid w:val="00622E05"/>
    <w:rsid w:val="006236FA"/>
    <w:rsid w:val="00626E09"/>
    <w:rsid w:val="00627DE4"/>
    <w:rsid w:val="00630181"/>
    <w:rsid w:val="00631C94"/>
    <w:rsid w:val="0063267B"/>
    <w:rsid w:val="0063654D"/>
    <w:rsid w:val="006417B6"/>
    <w:rsid w:val="00643D29"/>
    <w:rsid w:val="006448DA"/>
    <w:rsid w:val="00646012"/>
    <w:rsid w:val="00647F3E"/>
    <w:rsid w:val="006571F6"/>
    <w:rsid w:val="006572DD"/>
    <w:rsid w:val="006640AB"/>
    <w:rsid w:val="00664450"/>
    <w:rsid w:val="0067446B"/>
    <w:rsid w:val="00682BE1"/>
    <w:rsid w:val="00687070"/>
    <w:rsid w:val="00692F88"/>
    <w:rsid w:val="006A0549"/>
    <w:rsid w:val="006A0827"/>
    <w:rsid w:val="006A0CDD"/>
    <w:rsid w:val="006B061A"/>
    <w:rsid w:val="006B0E2D"/>
    <w:rsid w:val="006B1D46"/>
    <w:rsid w:val="006B459C"/>
    <w:rsid w:val="006B5DEC"/>
    <w:rsid w:val="006B796C"/>
    <w:rsid w:val="006C087A"/>
    <w:rsid w:val="006C1014"/>
    <w:rsid w:val="006C48CE"/>
    <w:rsid w:val="006C5575"/>
    <w:rsid w:val="006C5FC0"/>
    <w:rsid w:val="006D1996"/>
    <w:rsid w:val="006D35DA"/>
    <w:rsid w:val="006D4EE1"/>
    <w:rsid w:val="006D55CD"/>
    <w:rsid w:val="006E40D5"/>
    <w:rsid w:val="006E74B3"/>
    <w:rsid w:val="006F3468"/>
    <w:rsid w:val="006F5CD4"/>
    <w:rsid w:val="006F6169"/>
    <w:rsid w:val="007000B1"/>
    <w:rsid w:val="0070011B"/>
    <w:rsid w:val="007103BD"/>
    <w:rsid w:val="00710AEE"/>
    <w:rsid w:val="007110F4"/>
    <w:rsid w:val="0071219F"/>
    <w:rsid w:val="007178A7"/>
    <w:rsid w:val="00720646"/>
    <w:rsid w:val="00723203"/>
    <w:rsid w:val="0072345F"/>
    <w:rsid w:val="00732C6B"/>
    <w:rsid w:val="007339D9"/>
    <w:rsid w:val="007359E8"/>
    <w:rsid w:val="00736331"/>
    <w:rsid w:val="00737F56"/>
    <w:rsid w:val="00744D82"/>
    <w:rsid w:val="00750142"/>
    <w:rsid w:val="0075342A"/>
    <w:rsid w:val="007534E0"/>
    <w:rsid w:val="00762715"/>
    <w:rsid w:val="00764502"/>
    <w:rsid w:val="00766A62"/>
    <w:rsid w:val="00766B5B"/>
    <w:rsid w:val="00770F07"/>
    <w:rsid w:val="007724B6"/>
    <w:rsid w:val="00773F66"/>
    <w:rsid w:val="00780216"/>
    <w:rsid w:val="007840C5"/>
    <w:rsid w:val="0078482B"/>
    <w:rsid w:val="00784D05"/>
    <w:rsid w:val="00784F04"/>
    <w:rsid w:val="0078613B"/>
    <w:rsid w:val="007867E7"/>
    <w:rsid w:val="00791D27"/>
    <w:rsid w:val="00796C7D"/>
    <w:rsid w:val="007A16B1"/>
    <w:rsid w:val="007A6E5E"/>
    <w:rsid w:val="007B0005"/>
    <w:rsid w:val="007B1811"/>
    <w:rsid w:val="007B1CB4"/>
    <w:rsid w:val="007B6089"/>
    <w:rsid w:val="007B60F4"/>
    <w:rsid w:val="007B6231"/>
    <w:rsid w:val="007B6325"/>
    <w:rsid w:val="007B6A9F"/>
    <w:rsid w:val="007C217F"/>
    <w:rsid w:val="007C4CC9"/>
    <w:rsid w:val="007C6E63"/>
    <w:rsid w:val="007C6FC1"/>
    <w:rsid w:val="007C7D52"/>
    <w:rsid w:val="007D0FC1"/>
    <w:rsid w:val="007D5B83"/>
    <w:rsid w:val="007E015B"/>
    <w:rsid w:val="007E4A5E"/>
    <w:rsid w:val="007E5588"/>
    <w:rsid w:val="007F26AD"/>
    <w:rsid w:val="007F2C22"/>
    <w:rsid w:val="00801B1B"/>
    <w:rsid w:val="008060E0"/>
    <w:rsid w:val="008067BF"/>
    <w:rsid w:val="00806DAE"/>
    <w:rsid w:val="0080763E"/>
    <w:rsid w:val="00810BCD"/>
    <w:rsid w:val="00813603"/>
    <w:rsid w:val="00815013"/>
    <w:rsid w:val="008243BB"/>
    <w:rsid w:val="0082443B"/>
    <w:rsid w:val="00825190"/>
    <w:rsid w:val="0082531E"/>
    <w:rsid w:val="00825F9F"/>
    <w:rsid w:val="008276FC"/>
    <w:rsid w:val="00832450"/>
    <w:rsid w:val="008330D5"/>
    <w:rsid w:val="00833518"/>
    <w:rsid w:val="00834248"/>
    <w:rsid w:val="0083614F"/>
    <w:rsid w:val="00840012"/>
    <w:rsid w:val="00840666"/>
    <w:rsid w:val="008409BF"/>
    <w:rsid w:val="00841747"/>
    <w:rsid w:val="00842294"/>
    <w:rsid w:val="00845517"/>
    <w:rsid w:val="008519FD"/>
    <w:rsid w:val="00851E94"/>
    <w:rsid w:val="0085212C"/>
    <w:rsid w:val="00852B4A"/>
    <w:rsid w:val="00852D48"/>
    <w:rsid w:val="00853A4D"/>
    <w:rsid w:val="00854927"/>
    <w:rsid w:val="0085695B"/>
    <w:rsid w:val="00861D60"/>
    <w:rsid w:val="008655BD"/>
    <w:rsid w:val="00875ADF"/>
    <w:rsid w:val="00876A9D"/>
    <w:rsid w:val="008845EA"/>
    <w:rsid w:val="00886594"/>
    <w:rsid w:val="00890951"/>
    <w:rsid w:val="0089454B"/>
    <w:rsid w:val="00894F86"/>
    <w:rsid w:val="0089647F"/>
    <w:rsid w:val="00897B47"/>
    <w:rsid w:val="008A7857"/>
    <w:rsid w:val="008B73FE"/>
    <w:rsid w:val="008B78D5"/>
    <w:rsid w:val="008B7CC2"/>
    <w:rsid w:val="008C08B8"/>
    <w:rsid w:val="008C0963"/>
    <w:rsid w:val="008C360B"/>
    <w:rsid w:val="008C38D2"/>
    <w:rsid w:val="008C6067"/>
    <w:rsid w:val="008D09DA"/>
    <w:rsid w:val="008D13DD"/>
    <w:rsid w:val="008D3336"/>
    <w:rsid w:val="008D341F"/>
    <w:rsid w:val="008D3F19"/>
    <w:rsid w:val="008D52CF"/>
    <w:rsid w:val="008D7CB2"/>
    <w:rsid w:val="008E04EE"/>
    <w:rsid w:val="008E30C1"/>
    <w:rsid w:val="008E4002"/>
    <w:rsid w:val="008E6CE5"/>
    <w:rsid w:val="008F30BA"/>
    <w:rsid w:val="008F42B5"/>
    <w:rsid w:val="008F5251"/>
    <w:rsid w:val="008F6552"/>
    <w:rsid w:val="008F70DC"/>
    <w:rsid w:val="008F73E4"/>
    <w:rsid w:val="0090172A"/>
    <w:rsid w:val="009041D2"/>
    <w:rsid w:val="00905A84"/>
    <w:rsid w:val="00906406"/>
    <w:rsid w:val="00912166"/>
    <w:rsid w:val="00916B05"/>
    <w:rsid w:val="00916FBE"/>
    <w:rsid w:val="009170F0"/>
    <w:rsid w:val="00920ECD"/>
    <w:rsid w:val="009230CB"/>
    <w:rsid w:val="009231FD"/>
    <w:rsid w:val="00926A3E"/>
    <w:rsid w:val="0093054F"/>
    <w:rsid w:val="00930B8B"/>
    <w:rsid w:val="00930DCA"/>
    <w:rsid w:val="0093210B"/>
    <w:rsid w:val="0093389D"/>
    <w:rsid w:val="009357AD"/>
    <w:rsid w:val="00940FB6"/>
    <w:rsid w:val="0094149A"/>
    <w:rsid w:val="00944270"/>
    <w:rsid w:val="00944681"/>
    <w:rsid w:val="00945F3E"/>
    <w:rsid w:val="00952CA9"/>
    <w:rsid w:val="009554AC"/>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9737F"/>
    <w:rsid w:val="009A16A2"/>
    <w:rsid w:val="009A30B4"/>
    <w:rsid w:val="009A371A"/>
    <w:rsid w:val="009A4B22"/>
    <w:rsid w:val="009A7E50"/>
    <w:rsid w:val="009B2BFF"/>
    <w:rsid w:val="009B348E"/>
    <w:rsid w:val="009B3CFC"/>
    <w:rsid w:val="009B5CF0"/>
    <w:rsid w:val="009B68CF"/>
    <w:rsid w:val="009C1EFB"/>
    <w:rsid w:val="009C3FD0"/>
    <w:rsid w:val="009C5AB0"/>
    <w:rsid w:val="009C69B8"/>
    <w:rsid w:val="009D0385"/>
    <w:rsid w:val="009D2F43"/>
    <w:rsid w:val="009D789B"/>
    <w:rsid w:val="009E15DE"/>
    <w:rsid w:val="009E665C"/>
    <w:rsid w:val="009E7236"/>
    <w:rsid w:val="009F0D3B"/>
    <w:rsid w:val="009F25A4"/>
    <w:rsid w:val="009F61B1"/>
    <w:rsid w:val="009F6CF6"/>
    <w:rsid w:val="00A005C3"/>
    <w:rsid w:val="00A018FE"/>
    <w:rsid w:val="00A159DA"/>
    <w:rsid w:val="00A260C2"/>
    <w:rsid w:val="00A30819"/>
    <w:rsid w:val="00A32BC0"/>
    <w:rsid w:val="00A34E21"/>
    <w:rsid w:val="00A40A09"/>
    <w:rsid w:val="00A41166"/>
    <w:rsid w:val="00A46329"/>
    <w:rsid w:val="00A474C0"/>
    <w:rsid w:val="00A521B4"/>
    <w:rsid w:val="00A52FEE"/>
    <w:rsid w:val="00A53BA7"/>
    <w:rsid w:val="00A53EED"/>
    <w:rsid w:val="00A5409D"/>
    <w:rsid w:val="00A5745E"/>
    <w:rsid w:val="00A63D4B"/>
    <w:rsid w:val="00A650E5"/>
    <w:rsid w:val="00A73630"/>
    <w:rsid w:val="00A74AD2"/>
    <w:rsid w:val="00A77047"/>
    <w:rsid w:val="00A77C58"/>
    <w:rsid w:val="00A83D2F"/>
    <w:rsid w:val="00A85D78"/>
    <w:rsid w:val="00A85EB1"/>
    <w:rsid w:val="00A92D91"/>
    <w:rsid w:val="00A96C06"/>
    <w:rsid w:val="00A97DFB"/>
    <w:rsid w:val="00AA2308"/>
    <w:rsid w:val="00AA34C3"/>
    <w:rsid w:val="00AA3856"/>
    <w:rsid w:val="00AA5031"/>
    <w:rsid w:val="00AA5C2F"/>
    <w:rsid w:val="00AC20D0"/>
    <w:rsid w:val="00AC24F3"/>
    <w:rsid w:val="00AC27FF"/>
    <w:rsid w:val="00AC7DC3"/>
    <w:rsid w:val="00AD1B36"/>
    <w:rsid w:val="00AD2877"/>
    <w:rsid w:val="00AD2C70"/>
    <w:rsid w:val="00AE3B68"/>
    <w:rsid w:val="00AE4D01"/>
    <w:rsid w:val="00AF0D7D"/>
    <w:rsid w:val="00AF4143"/>
    <w:rsid w:val="00AF41A7"/>
    <w:rsid w:val="00AF453F"/>
    <w:rsid w:val="00AF5622"/>
    <w:rsid w:val="00AF60CE"/>
    <w:rsid w:val="00B006CF"/>
    <w:rsid w:val="00B028AA"/>
    <w:rsid w:val="00B078E8"/>
    <w:rsid w:val="00B14810"/>
    <w:rsid w:val="00B23EE5"/>
    <w:rsid w:val="00B323E2"/>
    <w:rsid w:val="00B41900"/>
    <w:rsid w:val="00B42376"/>
    <w:rsid w:val="00B44EDD"/>
    <w:rsid w:val="00B4612C"/>
    <w:rsid w:val="00B51543"/>
    <w:rsid w:val="00B52A83"/>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3116"/>
    <w:rsid w:val="00BA3CDB"/>
    <w:rsid w:val="00BB1DAA"/>
    <w:rsid w:val="00BB2C6E"/>
    <w:rsid w:val="00BB753A"/>
    <w:rsid w:val="00BC0523"/>
    <w:rsid w:val="00BC0818"/>
    <w:rsid w:val="00BC3426"/>
    <w:rsid w:val="00BC355B"/>
    <w:rsid w:val="00BD0934"/>
    <w:rsid w:val="00BD1D4D"/>
    <w:rsid w:val="00BE1290"/>
    <w:rsid w:val="00BE5B33"/>
    <w:rsid w:val="00BF05BF"/>
    <w:rsid w:val="00BF166A"/>
    <w:rsid w:val="00BF500D"/>
    <w:rsid w:val="00C00B68"/>
    <w:rsid w:val="00C03114"/>
    <w:rsid w:val="00C045CA"/>
    <w:rsid w:val="00C050B0"/>
    <w:rsid w:val="00C05CA8"/>
    <w:rsid w:val="00C123DF"/>
    <w:rsid w:val="00C17978"/>
    <w:rsid w:val="00C2003F"/>
    <w:rsid w:val="00C2030A"/>
    <w:rsid w:val="00C208FF"/>
    <w:rsid w:val="00C2144B"/>
    <w:rsid w:val="00C22965"/>
    <w:rsid w:val="00C2456B"/>
    <w:rsid w:val="00C2690F"/>
    <w:rsid w:val="00C27C00"/>
    <w:rsid w:val="00C32B15"/>
    <w:rsid w:val="00C347B5"/>
    <w:rsid w:val="00C347D6"/>
    <w:rsid w:val="00C35588"/>
    <w:rsid w:val="00C36631"/>
    <w:rsid w:val="00C369CB"/>
    <w:rsid w:val="00C42032"/>
    <w:rsid w:val="00C4244E"/>
    <w:rsid w:val="00C45732"/>
    <w:rsid w:val="00C4621D"/>
    <w:rsid w:val="00C46DB2"/>
    <w:rsid w:val="00C50F2E"/>
    <w:rsid w:val="00C556B3"/>
    <w:rsid w:val="00C5781A"/>
    <w:rsid w:val="00C57862"/>
    <w:rsid w:val="00C613F2"/>
    <w:rsid w:val="00C64542"/>
    <w:rsid w:val="00C65550"/>
    <w:rsid w:val="00C66558"/>
    <w:rsid w:val="00C70F8C"/>
    <w:rsid w:val="00C7194C"/>
    <w:rsid w:val="00C71BD0"/>
    <w:rsid w:val="00C76506"/>
    <w:rsid w:val="00C7682D"/>
    <w:rsid w:val="00C76895"/>
    <w:rsid w:val="00C83F63"/>
    <w:rsid w:val="00C90B18"/>
    <w:rsid w:val="00C90CDB"/>
    <w:rsid w:val="00C90CE3"/>
    <w:rsid w:val="00C93FFC"/>
    <w:rsid w:val="00C962B3"/>
    <w:rsid w:val="00CA03F1"/>
    <w:rsid w:val="00CA1D43"/>
    <w:rsid w:val="00CA72A2"/>
    <w:rsid w:val="00CB05B3"/>
    <w:rsid w:val="00CB3542"/>
    <w:rsid w:val="00CB5046"/>
    <w:rsid w:val="00CC02A2"/>
    <w:rsid w:val="00CC1889"/>
    <w:rsid w:val="00CC3F4A"/>
    <w:rsid w:val="00CD06F2"/>
    <w:rsid w:val="00CD3863"/>
    <w:rsid w:val="00CD42AB"/>
    <w:rsid w:val="00CD5E46"/>
    <w:rsid w:val="00CE47F3"/>
    <w:rsid w:val="00CE61D9"/>
    <w:rsid w:val="00CE7AEA"/>
    <w:rsid w:val="00CF18D8"/>
    <w:rsid w:val="00CF2678"/>
    <w:rsid w:val="00CF712B"/>
    <w:rsid w:val="00D01815"/>
    <w:rsid w:val="00D14B9E"/>
    <w:rsid w:val="00D20998"/>
    <w:rsid w:val="00D21059"/>
    <w:rsid w:val="00D22D8E"/>
    <w:rsid w:val="00D24294"/>
    <w:rsid w:val="00D25F12"/>
    <w:rsid w:val="00D26E9A"/>
    <w:rsid w:val="00D3087A"/>
    <w:rsid w:val="00D3420C"/>
    <w:rsid w:val="00D353F6"/>
    <w:rsid w:val="00D36AE4"/>
    <w:rsid w:val="00D3775B"/>
    <w:rsid w:val="00D41D56"/>
    <w:rsid w:val="00D4464A"/>
    <w:rsid w:val="00D45E59"/>
    <w:rsid w:val="00D460E0"/>
    <w:rsid w:val="00D47D18"/>
    <w:rsid w:val="00D521BB"/>
    <w:rsid w:val="00D5273E"/>
    <w:rsid w:val="00D54AAA"/>
    <w:rsid w:val="00D54EF4"/>
    <w:rsid w:val="00D60AA1"/>
    <w:rsid w:val="00D66B9E"/>
    <w:rsid w:val="00D70520"/>
    <w:rsid w:val="00D708F9"/>
    <w:rsid w:val="00D710C6"/>
    <w:rsid w:val="00D73179"/>
    <w:rsid w:val="00D80787"/>
    <w:rsid w:val="00D81B6A"/>
    <w:rsid w:val="00D824E8"/>
    <w:rsid w:val="00D86AE0"/>
    <w:rsid w:val="00D877BA"/>
    <w:rsid w:val="00D9248C"/>
    <w:rsid w:val="00D93712"/>
    <w:rsid w:val="00DA1234"/>
    <w:rsid w:val="00DA13A7"/>
    <w:rsid w:val="00DA1D24"/>
    <w:rsid w:val="00DA317F"/>
    <w:rsid w:val="00DA5B97"/>
    <w:rsid w:val="00DB0E2F"/>
    <w:rsid w:val="00DB411B"/>
    <w:rsid w:val="00DB734A"/>
    <w:rsid w:val="00DC032A"/>
    <w:rsid w:val="00DC0343"/>
    <w:rsid w:val="00DC541D"/>
    <w:rsid w:val="00DC7D58"/>
    <w:rsid w:val="00DD0607"/>
    <w:rsid w:val="00DD3DA2"/>
    <w:rsid w:val="00DD5561"/>
    <w:rsid w:val="00DD7796"/>
    <w:rsid w:val="00DE2DCE"/>
    <w:rsid w:val="00DE54C8"/>
    <w:rsid w:val="00DF5C00"/>
    <w:rsid w:val="00E037E0"/>
    <w:rsid w:val="00E10A9C"/>
    <w:rsid w:val="00E10AFB"/>
    <w:rsid w:val="00E11219"/>
    <w:rsid w:val="00E11AB2"/>
    <w:rsid w:val="00E1338A"/>
    <w:rsid w:val="00E21667"/>
    <w:rsid w:val="00E22AA3"/>
    <w:rsid w:val="00E313D4"/>
    <w:rsid w:val="00E31AF3"/>
    <w:rsid w:val="00E3262A"/>
    <w:rsid w:val="00E33F48"/>
    <w:rsid w:val="00E35B07"/>
    <w:rsid w:val="00E35B28"/>
    <w:rsid w:val="00E430B6"/>
    <w:rsid w:val="00E4357C"/>
    <w:rsid w:val="00E446C7"/>
    <w:rsid w:val="00E465D5"/>
    <w:rsid w:val="00E51437"/>
    <w:rsid w:val="00E514F0"/>
    <w:rsid w:val="00E56E4F"/>
    <w:rsid w:val="00E624C6"/>
    <w:rsid w:val="00E660C2"/>
    <w:rsid w:val="00E66C5A"/>
    <w:rsid w:val="00E70608"/>
    <w:rsid w:val="00E72477"/>
    <w:rsid w:val="00E81ED8"/>
    <w:rsid w:val="00E8608B"/>
    <w:rsid w:val="00E8651D"/>
    <w:rsid w:val="00E875F2"/>
    <w:rsid w:val="00E905AA"/>
    <w:rsid w:val="00E91607"/>
    <w:rsid w:val="00E91CA6"/>
    <w:rsid w:val="00E96115"/>
    <w:rsid w:val="00EA0A32"/>
    <w:rsid w:val="00EA497F"/>
    <w:rsid w:val="00EA6076"/>
    <w:rsid w:val="00EB5564"/>
    <w:rsid w:val="00EC318E"/>
    <w:rsid w:val="00EC3BD0"/>
    <w:rsid w:val="00EC6850"/>
    <w:rsid w:val="00EC7553"/>
    <w:rsid w:val="00EC7975"/>
    <w:rsid w:val="00ED01CB"/>
    <w:rsid w:val="00ED0B56"/>
    <w:rsid w:val="00ED109D"/>
    <w:rsid w:val="00ED43E6"/>
    <w:rsid w:val="00ED4E84"/>
    <w:rsid w:val="00ED7744"/>
    <w:rsid w:val="00EE004D"/>
    <w:rsid w:val="00EE09A7"/>
    <w:rsid w:val="00EF4C0F"/>
    <w:rsid w:val="00F001C9"/>
    <w:rsid w:val="00F0345C"/>
    <w:rsid w:val="00F0621B"/>
    <w:rsid w:val="00F069EF"/>
    <w:rsid w:val="00F07319"/>
    <w:rsid w:val="00F07D3F"/>
    <w:rsid w:val="00F142D1"/>
    <w:rsid w:val="00F1472B"/>
    <w:rsid w:val="00F15F1E"/>
    <w:rsid w:val="00F1649A"/>
    <w:rsid w:val="00F16832"/>
    <w:rsid w:val="00F16D99"/>
    <w:rsid w:val="00F24AE3"/>
    <w:rsid w:val="00F2782A"/>
    <w:rsid w:val="00F34E22"/>
    <w:rsid w:val="00F35232"/>
    <w:rsid w:val="00F46BB2"/>
    <w:rsid w:val="00F47367"/>
    <w:rsid w:val="00F568BF"/>
    <w:rsid w:val="00F61659"/>
    <w:rsid w:val="00F61926"/>
    <w:rsid w:val="00F62179"/>
    <w:rsid w:val="00F62F6A"/>
    <w:rsid w:val="00F63579"/>
    <w:rsid w:val="00F64E1C"/>
    <w:rsid w:val="00F670AF"/>
    <w:rsid w:val="00F70EDC"/>
    <w:rsid w:val="00F72FEA"/>
    <w:rsid w:val="00F730BB"/>
    <w:rsid w:val="00F82743"/>
    <w:rsid w:val="00F90D58"/>
    <w:rsid w:val="00F9115A"/>
    <w:rsid w:val="00F96FBF"/>
    <w:rsid w:val="00FA362E"/>
    <w:rsid w:val="00FA6B40"/>
    <w:rsid w:val="00FA6D7F"/>
    <w:rsid w:val="00FB01ED"/>
    <w:rsid w:val="00FB158B"/>
    <w:rsid w:val="00FB338C"/>
    <w:rsid w:val="00FB47FE"/>
    <w:rsid w:val="00FB5A4A"/>
    <w:rsid w:val="00FC23EE"/>
    <w:rsid w:val="00FC5BF0"/>
    <w:rsid w:val="00FC6093"/>
    <w:rsid w:val="00FC7C14"/>
    <w:rsid w:val="00FC7C5B"/>
    <w:rsid w:val="00FD1210"/>
    <w:rsid w:val="00FD255B"/>
    <w:rsid w:val="00FD3D04"/>
    <w:rsid w:val="00FD423D"/>
    <w:rsid w:val="00FD61D3"/>
    <w:rsid w:val="00FD6BF6"/>
    <w:rsid w:val="00FE2F3B"/>
    <w:rsid w:val="00FE31DF"/>
    <w:rsid w:val="00FE5C97"/>
    <w:rsid w:val="00FF03ED"/>
    <w:rsid w:val="00FF1D6C"/>
    <w:rsid w:val="00FF43D9"/>
    <w:rsid w:val="00FF4988"/>
    <w:rsid w:val="03F743E0"/>
    <w:rsid w:val="16302098"/>
    <w:rsid w:val="420A487D"/>
    <w:rsid w:val="5C871990"/>
    <w:rsid w:val="798C3F61"/>
    <w:rsid w:val="7A2D77E6"/>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29"/>
    <w:qFormat/>
    <w:uiPriority w:val="0"/>
    <w:pPr>
      <w:ind w:firstLine="420"/>
    </w:pPr>
  </w:style>
  <w:style w:type="paragraph" w:styleId="7">
    <w:name w:val="annotation text"/>
    <w:basedOn w:val="1"/>
    <w:link w:val="35"/>
    <w:qFormat/>
    <w:uiPriority w:val="0"/>
    <w:pPr>
      <w:jc w:val="left"/>
    </w:pPr>
    <w:rPr>
      <w:rFonts w:ascii="Calibri" w:hAnsi="Calibri" w:eastAsia="宋体" w:cs="Times New Roman"/>
      <w:szCs w:val="24"/>
    </w:rPr>
  </w:style>
  <w:style w:type="paragraph" w:styleId="8">
    <w:name w:val="Body Text"/>
    <w:basedOn w:val="1"/>
    <w:link w:val="31"/>
    <w:qFormat/>
    <w:uiPriority w:val="1"/>
    <w:pPr>
      <w:ind w:left="102"/>
    </w:pPr>
    <w:rPr>
      <w:rFonts w:ascii="仿宋" w:hAnsi="仿宋" w:eastAsia="仿宋"/>
      <w:sz w:val="28"/>
      <w:szCs w:val="28"/>
    </w:rPr>
  </w:style>
  <w:style w:type="paragraph" w:styleId="9">
    <w:name w:val="Body Text Indent"/>
    <w:basedOn w:val="1"/>
    <w:link w:val="36"/>
    <w:semiHidden/>
    <w:unhideWhenUsed/>
    <w:qFormat/>
    <w:uiPriority w:val="99"/>
    <w:pPr>
      <w:spacing w:after="120"/>
      <w:ind w:left="420" w:leftChars="200"/>
    </w:pPr>
  </w:style>
  <w:style w:type="paragraph" w:styleId="10">
    <w:name w:val="Balloon Text"/>
    <w:basedOn w:val="1"/>
    <w:link w:val="27"/>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9"/>
    <w:link w:val="37"/>
    <w:semiHidden/>
    <w:unhideWhenUsed/>
    <w:qFormat/>
    <w:uiPriority w:val="99"/>
    <w:pPr>
      <w:ind w:firstLine="420" w:firstLineChars="200"/>
    </w:p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0"/>
    <w:rPr>
      <w:sz w:val="21"/>
      <w:szCs w:val="21"/>
    </w:rPr>
  </w:style>
  <w:style w:type="character" w:customStyle="1" w:styleId="18">
    <w:name w:val="标题 1 字符"/>
    <w:basedOn w:val="16"/>
    <w:link w:val="2"/>
    <w:qFormat/>
    <w:uiPriority w:val="9"/>
    <w:rPr>
      <w:b/>
      <w:bCs/>
      <w:kern w:val="44"/>
      <w:sz w:val="44"/>
      <w:szCs w:val="44"/>
    </w:rPr>
  </w:style>
  <w:style w:type="table" w:customStyle="1" w:styleId="19">
    <w:name w:val="SGS Table Basic 11"/>
    <w:basedOn w:val="14"/>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0">
    <w:name w:val="页眉 字符"/>
    <w:basedOn w:val="16"/>
    <w:link w:val="12"/>
    <w:qFormat/>
    <w:uiPriority w:val="99"/>
    <w:rPr>
      <w:sz w:val="18"/>
      <w:szCs w:val="18"/>
    </w:rPr>
  </w:style>
  <w:style w:type="character" w:customStyle="1" w:styleId="21">
    <w:name w:val="页脚 字符"/>
    <w:basedOn w:val="16"/>
    <w:link w:val="11"/>
    <w:qFormat/>
    <w:uiPriority w:val="99"/>
    <w:rPr>
      <w:sz w:val="18"/>
      <w:szCs w:val="18"/>
    </w:rPr>
  </w:style>
  <w:style w:type="character" w:customStyle="1" w:styleId="22">
    <w:name w:val="NormalCharacter"/>
    <w:qFormat/>
    <w:uiPriority w:val="0"/>
    <w:rPr>
      <w:kern w:val="2"/>
      <w:sz w:val="21"/>
      <w:szCs w:val="22"/>
      <w:lang w:val="en-US" w:eastAsia="zh-CN" w:bidi="ar-SA"/>
    </w:rPr>
  </w:style>
  <w:style w:type="paragraph" w:customStyle="1" w:styleId="23">
    <w:name w:val="列出段落1"/>
    <w:basedOn w:val="1"/>
    <w:qFormat/>
    <w:uiPriority w:val="0"/>
    <w:pPr>
      <w:ind w:firstLine="200" w:firstLineChars="200"/>
    </w:pPr>
    <w:rPr>
      <w:rFonts w:ascii="Calibri" w:hAnsi="Calibri" w:eastAsia="宋体" w:cs="Times New Roman"/>
    </w:rPr>
  </w:style>
  <w:style w:type="paragraph" w:styleId="24">
    <w:name w:val="List Paragraph"/>
    <w:basedOn w:val="1"/>
    <w:qFormat/>
    <w:uiPriority w:val="34"/>
    <w:pPr>
      <w:ind w:firstLine="420"/>
    </w:pPr>
    <w:rPr>
      <w:rFonts w:ascii="Calibri" w:hAnsi="Calibri" w:eastAsia="宋体" w:cs="Times New Roman"/>
      <w:szCs w:val="24"/>
    </w:rPr>
  </w:style>
  <w:style w:type="character" w:customStyle="1" w:styleId="25">
    <w:name w:val="标题 2 字符"/>
    <w:basedOn w:val="16"/>
    <w:link w:val="3"/>
    <w:qFormat/>
    <w:uiPriority w:val="0"/>
    <w:rPr>
      <w:rFonts w:asciiTheme="majorHAnsi" w:hAnsiTheme="majorHAnsi" w:eastAsiaTheme="majorEastAsia" w:cstheme="majorBidi"/>
      <w:b/>
      <w:bCs/>
      <w:sz w:val="32"/>
      <w:szCs w:val="32"/>
    </w:rPr>
  </w:style>
  <w:style w:type="character" w:customStyle="1" w:styleId="26">
    <w:name w:val="标题 3 字符"/>
    <w:basedOn w:val="16"/>
    <w:link w:val="4"/>
    <w:qFormat/>
    <w:uiPriority w:val="0"/>
    <w:rPr>
      <w:b/>
      <w:bCs/>
      <w:sz w:val="32"/>
      <w:szCs w:val="32"/>
    </w:rPr>
  </w:style>
  <w:style w:type="character" w:customStyle="1" w:styleId="27">
    <w:name w:val="批注框文本 字符"/>
    <w:basedOn w:val="16"/>
    <w:link w:val="10"/>
    <w:semiHidden/>
    <w:qFormat/>
    <w:uiPriority w:val="99"/>
    <w:rPr>
      <w:sz w:val="18"/>
      <w:szCs w:val="18"/>
    </w:rPr>
  </w:style>
  <w:style w:type="paragraph" w:customStyle="1" w:styleId="28">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29">
    <w:name w:val="正文缩进 字符"/>
    <w:link w:val="6"/>
    <w:qFormat/>
    <w:uiPriority w:val="0"/>
  </w:style>
  <w:style w:type="paragraph" w:customStyle="1" w:styleId="30">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1">
    <w:name w:val="正文文本 字符"/>
    <w:basedOn w:val="16"/>
    <w:link w:val="8"/>
    <w:qFormat/>
    <w:uiPriority w:val="1"/>
    <w:rPr>
      <w:rFonts w:ascii="仿宋" w:hAnsi="仿宋" w:eastAsia="仿宋"/>
      <w:sz w:val="28"/>
      <w:szCs w:val="28"/>
    </w:rPr>
  </w:style>
  <w:style w:type="paragraph" w:customStyle="1" w:styleId="32">
    <w:name w:val="正文1"/>
    <w:basedOn w:val="1"/>
    <w:qFormat/>
    <w:uiPriority w:val="0"/>
    <w:pPr>
      <w:spacing w:line="360" w:lineRule="auto"/>
      <w:ind w:firstLine="361"/>
    </w:pPr>
    <w:rPr>
      <w:rFonts w:ascii="宋体" w:hAnsi="宋体" w:eastAsia="宋体" w:cs="Times New Roman"/>
      <w:szCs w:val="24"/>
    </w:rPr>
  </w:style>
  <w:style w:type="character" w:customStyle="1" w:styleId="33">
    <w:name w:val="正文缩进2格 Char"/>
    <w:link w:val="34"/>
    <w:qFormat/>
    <w:locked/>
    <w:uiPriority w:val="0"/>
    <w:rPr>
      <w:rFonts w:ascii="仿宋_GB2312" w:hAnsi="宋体" w:eastAsia="仿宋_GB2312"/>
      <w:sz w:val="31"/>
      <w:szCs w:val="28"/>
    </w:rPr>
  </w:style>
  <w:style w:type="paragraph" w:customStyle="1" w:styleId="34">
    <w:name w:val="正文缩进2格"/>
    <w:basedOn w:val="1"/>
    <w:link w:val="33"/>
    <w:qFormat/>
    <w:uiPriority w:val="0"/>
    <w:pPr>
      <w:spacing w:line="600" w:lineRule="exact"/>
      <w:ind w:firstLine="639" w:firstLineChars="206"/>
    </w:pPr>
    <w:rPr>
      <w:rFonts w:ascii="仿宋_GB2312" w:hAnsi="宋体" w:eastAsia="仿宋_GB2312"/>
      <w:sz w:val="31"/>
      <w:szCs w:val="28"/>
    </w:rPr>
  </w:style>
  <w:style w:type="character" w:customStyle="1" w:styleId="35">
    <w:name w:val="批注文字 字符"/>
    <w:basedOn w:val="16"/>
    <w:link w:val="7"/>
    <w:qFormat/>
    <w:uiPriority w:val="0"/>
    <w:rPr>
      <w:rFonts w:ascii="Calibri" w:hAnsi="Calibri" w:eastAsia="宋体" w:cs="Times New Roman"/>
      <w:kern w:val="2"/>
      <w:sz w:val="21"/>
      <w:szCs w:val="24"/>
    </w:rPr>
  </w:style>
  <w:style w:type="character" w:customStyle="1" w:styleId="36">
    <w:name w:val="正文文本缩进 字符"/>
    <w:basedOn w:val="16"/>
    <w:link w:val="9"/>
    <w:semiHidden/>
    <w:qFormat/>
    <w:uiPriority w:val="99"/>
    <w:rPr>
      <w:kern w:val="2"/>
      <w:sz w:val="21"/>
      <w:szCs w:val="22"/>
    </w:rPr>
  </w:style>
  <w:style w:type="character" w:customStyle="1" w:styleId="37">
    <w:name w:val="正文文本首行缩进 2 字符"/>
    <w:basedOn w:val="36"/>
    <w:link w:val="13"/>
    <w:semiHidden/>
    <w:qFormat/>
    <w:uiPriority w:val="99"/>
    <w:rPr>
      <w:kern w:val="2"/>
      <w:sz w:val="21"/>
      <w:szCs w:val="22"/>
    </w:rPr>
  </w:style>
  <w:style w:type="character" w:customStyle="1" w:styleId="38">
    <w:name w:val="标题 4 字符"/>
    <w:basedOn w:val="16"/>
    <w:link w:val="5"/>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A963E-441E-4424-8E3C-EF211462C3AA}">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34</Pages>
  <Words>2618</Words>
  <Characters>14929</Characters>
  <Lines>124</Lines>
  <Paragraphs>35</Paragraphs>
  <TotalTime>74</TotalTime>
  <ScaleCrop>false</ScaleCrop>
  <LinksUpToDate>false</LinksUpToDate>
  <CharactersWithSpaces>17512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2024-11-12T06:58:00Z</dcterms:created>
  <dc:creator>bailing</dc:creator>
  <cp:lastModifiedBy>Lucky东</cp:lastModifiedBy>
  <cp:lastPrinted>2024-11-21T08:58:39Z</cp:lastPrinted>
  <dcterms:modified xsi:type="dcterms:W3CDTF">2024-11-22T01:13:09Z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1F3ADA26051045409F28AA88AB5EA752</vt:lpwstr>
  </property>
</Properties>
</file>