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5884C">
      <w:pPr>
        <w:spacing w:line="720" w:lineRule="auto"/>
        <w:jc w:val="center"/>
        <w:rPr>
          <w:rFonts w:hint="eastAsia" w:ascii="宋体" w:hAnsi="宋体" w:eastAsia="宋体" w:cs="宋体"/>
          <w:b/>
          <w:color w:val="auto"/>
          <w:sz w:val="72"/>
          <w:szCs w:val="72"/>
          <w:lang w:eastAsia="zh-CN"/>
        </w:rPr>
      </w:pPr>
      <w:r>
        <w:rPr>
          <w:rFonts w:hint="eastAsia" w:ascii="宋体" w:hAnsi="宋体" w:cs="宋体"/>
          <w:b/>
          <w:bCs/>
          <w:color w:val="auto"/>
          <w:sz w:val="44"/>
          <w:szCs w:val="44"/>
          <w:lang w:eastAsia="zh-CN"/>
        </w:rPr>
        <w:t>2024江苏省南通卫生高等职业技术学校网络安全运维服务项目</w:t>
      </w:r>
    </w:p>
    <w:p w14:paraId="111080B3">
      <w:pPr>
        <w:spacing w:line="360" w:lineRule="auto"/>
        <w:rPr>
          <w:rFonts w:hint="eastAsia" w:ascii="宋体" w:hAnsi="宋体" w:cs="宋体"/>
          <w:b/>
          <w:color w:val="auto"/>
          <w:sz w:val="100"/>
          <w:szCs w:val="100"/>
        </w:rPr>
      </w:pPr>
    </w:p>
    <w:p w14:paraId="7CF43469">
      <w:pPr>
        <w:spacing w:line="360" w:lineRule="auto"/>
        <w:jc w:val="center"/>
        <w:rPr>
          <w:rFonts w:hint="eastAsia" w:ascii="宋体" w:hAnsi="宋体" w:cs="宋体"/>
          <w:b/>
          <w:color w:val="auto"/>
          <w:sz w:val="100"/>
          <w:szCs w:val="100"/>
        </w:rPr>
      </w:pPr>
    </w:p>
    <w:p w14:paraId="03227300">
      <w:pPr>
        <w:spacing w:line="360" w:lineRule="auto"/>
        <w:jc w:val="center"/>
        <w:rPr>
          <w:rFonts w:hint="eastAsia" w:ascii="宋体" w:hAnsi="宋体" w:cs="宋体"/>
          <w:b/>
          <w:color w:val="auto"/>
          <w:sz w:val="100"/>
          <w:szCs w:val="100"/>
        </w:rPr>
      </w:pPr>
      <w:r>
        <w:rPr>
          <w:rFonts w:hint="eastAsia" w:ascii="宋体" w:hAnsi="宋体" w:cs="宋体"/>
          <w:b/>
          <w:color w:val="auto"/>
          <w:sz w:val="100"/>
          <w:szCs w:val="100"/>
        </w:rPr>
        <w:t>磋商采购文件</w:t>
      </w:r>
    </w:p>
    <w:p w14:paraId="67095CAC">
      <w:pPr>
        <w:keepNext/>
        <w:spacing w:line="360" w:lineRule="auto"/>
        <w:jc w:val="center"/>
        <w:rPr>
          <w:rFonts w:hint="eastAsia" w:ascii="宋体" w:hAnsi="宋体" w:cs="宋体"/>
          <w:b/>
          <w:color w:val="auto"/>
          <w:kern w:val="0"/>
          <w:sz w:val="36"/>
          <w:szCs w:val="36"/>
          <w:lang w:eastAsia="zh-CN"/>
        </w:rPr>
      </w:pPr>
      <w:r>
        <w:rPr>
          <w:rFonts w:hint="eastAsia" w:ascii="宋体" w:hAnsi="宋体" w:cs="宋体"/>
          <w:b/>
          <w:color w:val="auto"/>
          <w:kern w:val="0"/>
          <w:sz w:val="36"/>
          <w:szCs w:val="36"/>
        </w:rPr>
        <w:t>采购文件编号：</w:t>
      </w:r>
      <w:r>
        <w:rPr>
          <w:rFonts w:hint="eastAsia" w:ascii="宋体" w:hAnsi="宋体" w:cs="宋体"/>
          <w:b/>
          <w:color w:val="auto"/>
          <w:kern w:val="0"/>
          <w:sz w:val="36"/>
          <w:szCs w:val="36"/>
          <w:lang w:eastAsia="zh-CN"/>
        </w:rPr>
        <w:t>WXBS2024093</w:t>
      </w:r>
    </w:p>
    <w:p w14:paraId="27F939DA">
      <w:pPr>
        <w:spacing w:line="360" w:lineRule="auto"/>
        <w:jc w:val="center"/>
        <w:rPr>
          <w:rFonts w:hint="eastAsia" w:ascii="宋体" w:hAnsi="宋体" w:cs="宋体"/>
          <w:b/>
          <w:color w:val="auto"/>
          <w:sz w:val="36"/>
        </w:rPr>
      </w:pPr>
    </w:p>
    <w:p w14:paraId="26392657">
      <w:pPr>
        <w:spacing w:line="360" w:lineRule="auto"/>
        <w:jc w:val="center"/>
        <w:rPr>
          <w:rFonts w:hint="eastAsia" w:ascii="宋体" w:hAnsi="宋体" w:cs="宋体"/>
          <w:b/>
          <w:color w:val="auto"/>
          <w:sz w:val="36"/>
        </w:rPr>
      </w:pPr>
    </w:p>
    <w:p w14:paraId="02ED7699">
      <w:pPr>
        <w:spacing w:line="360" w:lineRule="auto"/>
        <w:jc w:val="center"/>
        <w:rPr>
          <w:rFonts w:hint="eastAsia" w:ascii="宋体" w:hAnsi="宋体" w:cs="宋体"/>
          <w:b/>
          <w:color w:val="auto"/>
          <w:sz w:val="36"/>
        </w:rPr>
      </w:pPr>
    </w:p>
    <w:p w14:paraId="77A9A502">
      <w:pPr>
        <w:spacing w:line="360" w:lineRule="auto"/>
        <w:jc w:val="center"/>
        <w:rPr>
          <w:rFonts w:hint="eastAsia" w:ascii="宋体" w:hAnsi="宋体" w:cs="宋体"/>
          <w:b/>
          <w:color w:val="auto"/>
          <w:sz w:val="36"/>
        </w:rPr>
      </w:pPr>
    </w:p>
    <w:p w14:paraId="05394D35">
      <w:pPr>
        <w:spacing w:line="360" w:lineRule="auto"/>
        <w:jc w:val="center"/>
        <w:rPr>
          <w:rFonts w:hint="eastAsia" w:ascii="宋体" w:hAnsi="宋体" w:cs="宋体"/>
          <w:b/>
          <w:color w:val="auto"/>
          <w:sz w:val="36"/>
        </w:rPr>
      </w:pPr>
    </w:p>
    <w:p w14:paraId="7AEE8D80">
      <w:pPr>
        <w:pStyle w:val="10"/>
        <w:rPr>
          <w:rFonts w:hint="eastAsia"/>
        </w:rPr>
      </w:pPr>
    </w:p>
    <w:p w14:paraId="371E0699">
      <w:pPr>
        <w:adjustRightInd w:val="0"/>
        <w:spacing w:before="120" w:after="120" w:line="360" w:lineRule="auto"/>
        <w:ind w:left="-2" w:right="120"/>
        <w:jc w:val="center"/>
        <w:textAlignment w:val="baseline"/>
        <w:rPr>
          <w:rFonts w:hint="eastAsia" w:ascii="宋体" w:hAnsi="宋体" w:cs="宋体"/>
          <w:b/>
          <w:color w:val="auto"/>
          <w:spacing w:val="20"/>
          <w:sz w:val="32"/>
          <w:szCs w:val="32"/>
        </w:rPr>
      </w:pPr>
    </w:p>
    <w:p w14:paraId="58DF4F4A">
      <w:pPr>
        <w:adjustRightInd w:val="0"/>
        <w:spacing w:before="120" w:after="120" w:line="360" w:lineRule="auto"/>
        <w:ind w:left="-2" w:right="120"/>
        <w:jc w:val="center"/>
        <w:textAlignment w:val="baseline"/>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lang w:eastAsia="zh-CN"/>
        </w:rPr>
        <w:t>江苏省南通卫生高等职业技术学校</w:t>
      </w:r>
    </w:p>
    <w:p w14:paraId="67892645">
      <w:pPr>
        <w:adjustRightInd w:val="0"/>
        <w:spacing w:before="120" w:after="120" w:line="360" w:lineRule="auto"/>
        <w:ind w:left="-2" w:right="120"/>
        <w:jc w:val="center"/>
        <w:textAlignment w:val="baseline"/>
        <w:rPr>
          <w:rFonts w:hint="eastAsia" w:ascii="宋体" w:hAnsi="宋体" w:cs="宋体"/>
          <w:b/>
          <w:bCs/>
          <w:color w:val="auto"/>
          <w:kern w:val="0"/>
          <w:sz w:val="32"/>
          <w:szCs w:val="32"/>
        </w:rPr>
      </w:pPr>
      <w:r>
        <w:rPr>
          <w:rFonts w:hint="eastAsia" w:ascii="宋体" w:hAnsi="宋体" w:cs="宋体"/>
          <w:b/>
          <w:bCs/>
          <w:color w:val="auto"/>
          <w:kern w:val="0"/>
          <w:sz w:val="32"/>
          <w:szCs w:val="32"/>
        </w:rPr>
        <w:t>2024年</w:t>
      </w:r>
      <w:r>
        <w:rPr>
          <w:rFonts w:hint="eastAsia" w:ascii="宋体" w:hAnsi="宋体" w:cs="宋体"/>
          <w:b/>
          <w:bCs/>
          <w:color w:val="auto"/>
          <w:kern w:val="0"/>
          <w:sz w:val="32"/>
          <w:szCs w:val="32"/>
          <w:lang w:val="en-US" w:eastAsia="zh-CN"/>
        </w:rPr>
        <w:t>10</w:t>
      </w:r>
      <w:r>
        <w:rPr>
          <w:rFonts w:hint="eastAsia" w:ascii="宋体" w:hAnsi="宋体" w:cs="宋体"/>
          <w:b/>
          <w:bCs/>
          <w:color w:val="auto"/>
          <w:kern w:val="0"/>
          <w:sz w:val="32"/>
          <w:szCs w:val="32"/>
        </w:rPr>
        <w:t>月</w:t>
      </w:r>
    </w:p>
    <w:p w14:paraId="7CA1638A">
      <w:pPr>
        <w:adjustRightInd w:val="0"/>
        <w:snapToGrid w:val="0"/>
        <w:spacing w:line="360" w:lineRule="auto"/>
        <w:ind w:left="-158" w:leftChars="-75"/>
        <w:jc w:val="center"/>
        <w:rPr>
          <w:rFonts w:hint="eastAsia" w:ascii="宋体" w:hAnsi="宋体" w:cs="宋体"/>
          <w:color w:val="auto"/>
          <w:sz w:val="44"/>
          <w:szCs w:val="44"/>
          <w:lang w:val="zh-CN"/>
        </w:rPr>
      </w:pPr>
      <w:r>
        <w:rPr>
          <w:rFonts w:hint="eastAsia" w:ascii="宋体" w:hAnsi="宋体" w:cs="宋体"/>
          <w:color w:val="auto"/>
          <w:sz w:val="44"/>
          <w:szCs w:val="44"/>
          <w:lang w:val="zh-CN"/>
        </w:rPr>
        <w:br w:type="page"/>
      </w:r>
      <w:r>
        <w:rPr>
          <w:rFonts w:hint="eastAsia" w:ascii="宋体" w:hAnsi="宋体" w:cs="宋体"/>
          <w:color w:val="auto"/>
          <w:sz w:val="44"/>
          <w:szCs w:val="44"/>
          <w:lang w:val="zh-CN"/>
        </w:rPr>
        <w:t xml:space="preserve">目 </w:t>
      </w:r>
      <w:r>
        <w:rPr>
          <w:rFonts w:hint="eastAsia" w:ascii="宋体" w:hAnsi="宋体" w:cs="宋体"/>
          <w:color w:val="auto"/>
          <w:sz w:val="44"/>
          <w:szCs w:val="44"/>
        </w:rPr>
        <w:t xml:space="preserve">  </w:t>
      </w:r>
      <w:r>
        <w:rPr>
          <w:rFonts w:hint="eastAsia" w:ascii="宋体" w:hAnsi="宋体" w:cs="宋体"/>
          <w:color w:val="auto"/>
          <w:sz w:val="44"/>
          <w:szCs w:val="44"/>
          <w:lang w:val="zh-CN"/>
        </w:rPr>
        <w:t>录</w:t>
      </w:r>
    </w:p>
    <w:p w14:paraId="16BFE681">
      <w:pPr>
        <w:autoSpaceDE w:val="0"/>
        <w:autoSpaceDN w:val="0"/>
        <w:adjustRightInd w:val="0"/>
        <w:snapToGrid w:val="0"/>
        <w:spacing w:line="1000" w:lineRule="exact"/>
        <w:ind w:firstLine="556"/>
        <w:rPr>
          <w:rFonts w:hint="eastAsia" w:ascii="宋体" w:hAnsi="宋体" w:eastAsia="宋体" w:cs="宋体"/>
          <w:color w:val="auto"/>
          <w:sz w:val="32"/>
          <w:szCs w:val="32"/>
          <w:lang w:eastAsia="zh-CN"/>
        </w:rPr>
      </w:pPr>
      <w:r>
        <w:rPr>
          <w:rFonts w:hint="eastAsia" w:ascii="宋体" w:hAnsi="宋体" w:cs="宋体"/>
          <w:color w:val="auto"/>
          <w:sz w:val="32"/>
          <w:szCs w:val="32"/>
        </w:rPr>
        <w:t>第一部分  磋商</w:t>
      </w:r>
      <w:r>
        <w:rPr>
          <w:rFonts w:hint="eastAsia" w:ascii="宋体" w:hAnsi="宋体" w:cs="宋体"/>
          <w:color w:val="auto"/>
          <w:sz w:val="32"/>
          <w:szCs w:val="32"/>
          <w:lang w:eastAsia="zh-CN"/>
        </w:rPr>
        <w:t>通告</w:t>
      </w:r>
    </w:p>
    <w:p w14:paraId="145F3E82">
      <w:pPr>
        <w:autoSpaceDE w:val="0"/>
        <w:autoSpaceDN w:val="0"/>
        <w:adjustRightInd w:val="0"/>
        <w:snapToGrid w:val="0"/>
        <w:spacing w:line="1000" w:lineRule="exact"/>
        <w:ind w:firstLine="556"/>
        <w:rPr>
          <w:rFonts w:hint="eastAsia" w:ascii="宋体" w:hAnsi="宋体" w:cs="宋体"/>
          <w:color w:val="auto"/>
          <w:sz w:val="32"/>
          <w:szCs w:val="32"/>
        </w:rPr>
      </w:pPr>
      <w:r>
        <w:rPr>
          <w:rFonts w:hint="eastAsia" w:ascii="宋体" w:hAnsi="宋体" w:cs="宋体"/>
          <w:color w:val="auto"/>
          <w:sz w:val="32"/>
          <w:szCs w:val="32"/>
        </w:rPr>
        <w:t>第二部分  磋商须知</w:t>
      </w:r>
    </w:p>
    <w:p w14:paraId="64345132">
      <w:pPr>
        <w:autoSpaceDE w:val="0"/>
        <w:autoSpaceDN w:val="0"/>
        <w:adjustRightInd w:val="0"/>
        <w:snapToGrid w:val="0"/>
        <w:spacing w:line="1000" w:lineRule="exact"/>
        <w:ind w:firstLine="537"/>
        <w:rPr>
          <w:rFonts w:hint="eastAsia" w:ascii="宋体" w:hAnsi="宋体" w:cs="宋体"/>
          <w:color w:val="auto"/>
          <w:sz w:val="32"/>
          <w:szCs w:val="32"/>
        </w:rPr>
      </w:pPr>
      <w:r>
        <w:rPr>
          <w:rFonts w:hint="eastAsia" w:ascii="宋体" w:hAnsi="宋体" w:cs="宋体"/>
          <w:color w:val="auto"/>
          <w:sz w:val="32"/>
          <w:szCs w:val="32"/>
        </w:rPr>
        <w:t>第三部分  项目需求</w:t>
      </w:r>
    </w:p>
    <w:p w14:paraId="71FA4013">
      <w:pPr>
        <w:autoSpaceDE w:val="0"/>
        <w:autoSpaceDN w:val="0"/>
        <w:adjustRightInd w:val="0"/>
        <w:snapToGrid w:val="0"/>
        <w:spacing w:line="1000" w:lineRule="exact"/>
        <w:ind w:firstLine="537"/>
        <w:rPr>
          <w:rFonts w:hint="eastAsia" w:ascii="宋体" w:hAnsi="宋体" w:cs="宋体"/>
          <w:color w:val="auto"/>
          <w:sz w:val="32"/>
          <w:szCs w:val="32"/>
        </w:rPr>
      </w:pPr>
      <w:r>
        <w:rPr>
          <w:rFonts w:hint="eastAsia" w:ascii="宋体" w:hAnsi="宋体" w:cs="宋体"/>
          <w:color w:val="auto"/>
          <w:sz w:val="32"/>
          <w:szCs w:val="32"/>
        </w:rPr>
        <w:t>第四部分  评审方法和评审标准</w:t>
      </w:r>
    </w:p>
    <w:p w14:paraId="1D07FE5F">
      <w:pPr>
        <w:autoSpaceDE w:val="0"/>
        <w:autoSpaceDN w:val="0"/>
        <w:adjustRightInd w:val="0"/>
        <w:snapToGrid w:val="0"/>
        <w:spacing w:line="1000" w:lineRule="exact"/>
        <w:ind w:firstLine="556"/>
        <w:rPr>
          <w:rFonts w:hint="eastAsia" w:ascii="宋体" w:hAnsi="宋体" w:cs="宋体"/>
          <w:color w:val="auto"/>
          <w:sz w:val="32"/>
          <w:szCs w:val="32"/>
        </w:rPr>
      </w:pPr>
      <w:r>
        <w:rPr>
          <w:rFonts w:hint="eastAsia" w:ascii="宋体" w:hAnsi="宋体" w:cs="宋体"/>
          <w:color w:val="auto"/>
          <w:sz w:val="32"/>
          <w:szCs w:val="32"/>
        </w:rPr>
        <w:t>第五部分  响应文件组成</w:t>
      </w:r>
    </w:p>
    <w:p w14:paraId="2F21CE1B">
      <w:pPr>
        <w:tabs>
          <w:tab w:val="left" w:pos="7740"/>
        </w:tabs>
        <w:spacing w:line="360" w:lineRule="auto"/>
        <w:rPr>
          <w:rFonts w:hint="eastAsia" w:ascii="宋体" w:hAnsi="宋体" w:cs="宋体"/>
          <w:bCs/>
          <w:color w:val="auto"/>
          <w:sz w:val="32"/>
          <w:szCs w:val="32"/>
        </w:rPr>
      </w:pPr>
    </w:p>
    <w:p w14:paraId="675D60AC">
      <w:pPr>
        <w:tabs>
          <w:tab w:val="left" w:pos="7740"/>
        </w:tabs>
        <w:spacing w:line="360" w:lineRule="auto"/>
        <w:rPr>
          <w:rFonts w:hint="eastAsia" w:ascii="宋体" w:hAnsi="宋体" w:cs="宋体"/>
          <w:bCs/>
          <w:color w:val="auto"/>
          <w:sz w:val="32"/>
          <w:szCs w:val="32"/>
        </w:rPr>
      </w:pPr>
    </w:p>
    <w:p w14:paraId="3ED176D5">
      <w:pPr>
        <w:autoSpaceDE w:val="0"/>
        <w:autoSpaceDN w:val="0"/>
        <w:adjustRightInd w:val="0"/>
        <w:spacing w:line="360" w:lineRule="auto"/>
        <w:jc w:val="center"/>
        <w:rPr>
          <w:rFonts w:hint="eastAsia" w:ascii="宋体" w:hAnsi="宋体" w:cs="宋体"/>
          <w:b/>
          <w:bCs/>
          <w:color w:val="auto"/>
          <w:sz w:val="36"/>
          <w:szCs w:val="36"/>
          <w:lang w:val="zh-CN"/>
        </w:rPr>
      </w:pPr>
    </w:p>
    <w:p w14:paraId="5B65FB68">
      <w:pPr>
        <w:autoSpaceDE w:val="0"/>
        <w:autoSpaceDN w:val="0"/>
        <w:adjustRightInd w:val="0"/>
        <w:spacing w:line="360" w:lineRule="auto"/>
        <w:rPr>
          <w:rFonts w:hint="eastAsia" w:ascii="宋体" w:hAnsi="宋体" w:cs="宋体"/>
          <w:b/>
          <w:bCs/>
          <w:color w:val="auto"/>
          <w:sz w:val="36"/>
          <w:szCs w:val="36"/>
          <w:lang w:val="zh-CN"/>
        </w:rPr>
      </w:pPr>
    </w:p>
    <w:p w14:paraId="471A23E5">
      <w:pPr>
        <w:autoSpaceDE w:val="0"/>
        <w:autoSpaceDN w:val="0"/>
        <w:adjustRightInd w:val="0"/>
        <w:spacing w:line="360" w:lineRule="auto"/>
        <w:jc w:val="center"/>
        <w:rPr>
          <w:rFonts w:hint="eastAsia" w:ascii="宋体" w:hAnsi="宋体" w:cs="宋体"/>
          <w:b/>
          <w:bCs/>
          <w:color w:val="auto"/>
          <w:sz w:val="36"/>
          <w:szCs w:val="36"/>
          <w:lang w:val="zh-CN"/>
        </w:rPr>
      </w:pPr>
    </w:p>
    <w:p w14:paraId="30348AB5">
      <w:pPr>
        <w:autoSpaceDE w:val="0"/>
        <w:autoSpaceDN w:val="0"/>
        <w:adjustRightInd w:val="0"/>
        <w:spacing w:line="360" w:lineRule="auto"/>
        <w:jc w:val="center"/>
        <w:rPr>
          <w:rFonts w:hint="eastAsia" w:ascii="宋体" w:hAnsi="宋体" w:cs="宋体"/>
          <w:b/>
          <w:bCs/>
          <w:color w:val="auto"/>
          <w:sz w:val="36"/>
          <w:szCs w:val="36"/>
          <w:lang w:val="zh-CN"/>
        </w:rPr>
      </w:pPr>
    </w:p>
    <w:p w14:paraId="45E28C8D">
      <w:pPr>
        <w:autoSpaceDE w:val="0"/>
        <w:autoSpaceDN w:val="0"/>
        <w:adjustRightInd w:val="0"/>
        <w:spacing w:line="360" w:lineRule="auto"/>
        <w:jc w:val="center"/>
        <w:rPr>
          <w:rFonts w:hint="eastAsia" w:ascii="宋体" w:hAnsi="宋体" w:cs="宋体"/>
          <w:b/>
          <w:bCs/>
          <w:color w:val="auto"/>
          <w:sz w:val="36"/>
          <w:szCs w:val="36"/>
          <w:lang w:val="zh-CN"/>
        </w:rPr>
      </w:pPr>
    </w:p>
    <w:p w14:paraId="7FB6C0B6">
      <w:pPr>
        <w:autoSpaceDE w:val="0"/>
        <w:autoSpaceDN w:val="0"/>
        <w:adjustRightInd w:val="0"/>
        <w:spacing w:line="360" w:lineRule="auto"/>
        <w:jc w:val="center"/>
        <w:rPr>
          <w:rFonts w:hint="eastAsia" w:ascii="宋体" w:hAnsi="宋体" w:cs="宋体"/>
          <w:b/>
          <w:bCs/>
          <w:color w:val="auto"/>
          <w:sz w:val="36"/>
          <w:szCs w:val="36"/>
          <w:lang w:val="zh-CN"/>
        </w:rPr>
      </w:pPr>
    </w:p>
    <w:p w14:paraId="4BD58A87">
      <w:pPr>
        <w:autoSpaceDE w:val="0"/>
        <w:autoSpaceDN w:val="0"/>
        <w:adjustRightInd w:val="0"/>
        <w:spacing w:line="360" w:lineRule="auto"/>
        <w:jc w:val="center"/>
        <w:rPr>
          <w:rFonts w:hint="eastAsia" w:ascii="宋体" w:hAnsi="宋体" w:cs="宋体"/>
          <w:b/>
          <w:bCs/>
          <w:color w:val="auto"/>
          <w:sz w:val="36"/>
          <w:szCs w:val="36"/>
          <w:lang w:val="zh-CN"/>
        </w:rPr>
      </w:pPr>
    </w:p>
    <w:p w14:paraId="0FCA5459">
      <w:pPr>
        <w:autoSpaceDE w:val="0"/>
        <w:autoSpaceDN w:val="0"/>
        <w:adjustRightInd w:val="0"/>
        <w:spacing w:line="360" w:lineRule="auto"/>
        <w:jc w:val="center"/>
        <w:rPr>
          <w:rFonts w:hint="eastAsia" w:ascii="宋体" w:hAnsi="宋体" w:cs="宋体"/>
          <w:b/>
          <w:bCs/>
          <w:color w:val="auto"/>
          <w:sz w:val="36"/>
          <w:szCs w:val="36"/>
          <w:lang w:val="zh-CN"/>
        </w:rPr>
      </w:pPr>
    </w:p>
    <w:p w14:paraId="526BA8A7">
      <w:pPr>
        <w:autoSpaceDE w:val="0"/>
        <w:autoSpaceDN w:val="0"/>
        <w:adjustRightInd w:val="0"/>
        <w:spacing w:line="360" w:lineRule="auto"/>
        <w:jc w:val="center"/>
        <w:rPr>
          <w:rFonts w:hint="eastAsia" w:ascii="宋体" w:hAnsi="宋体" w:cs="宋体"/>
          <w:b/>
          <w:bCs/>
          <w:color w:val="auto"/>
          <w:sz w:val="36"/>
          <w:szCs w:val="36"/>
          <w:lang w:val="zh-CN"/>
        </w:rPr>
      </w:pPr>
    </w:p>
    <w:p w14:paraId="4D2420E2">
      <w:pPr>
        <w:autoSpaceDE w:val="0"/>
        <w:autoSpaceDN w:val="0"/>
        <w:adjustRightInd w:val="0"/>
        <w:snapToGrid w:val="0"/>
        <w:spacing w:line="360" w:lineRule="auto"/>
        <w:jc w:val="center"/>
        <w:rPr>
          <w:rFonts w:hint="eastAsia" w:ascii="宋体" w:hAnsi="宋体" w:cs="宋体"/>
          <w:color w:val="auto"/>
          <w:sz w:val="36"/>
          <w:szCs w:val="36"/>
          <w:lang w:val="zh-CN"/>
        </w:rPr>
      </w:pPr>
    </w:p>
    <w:p w14:paraId="56AB669E">
      <w:pPr>
        <w:autoSpaceDE w:val="0"/>
        <w:autoSpaceDN w:val="0"/>
        <w:adjustRightInd w:val="0"/>
        <w:snapToGrid w:val="0"/>
        <w:spacing w:line="360" w:lineRule="auto"/>
        <w:jc w:val="center"/>
        <w:rPr>
          <w:rFonts w:hint="eastAsia" w:ascii="宋体" w:hAnsi="宋体" w:cs="宋体"/>
          <w:color w:val="auto"/>
          <w:sz w:val="36"/>
          <w:szCs w:val="36"/>
          <w:lang w:val="zh-CN"/>
        </w:rPr>
      </w:pPr>
    </w:p>
    <w:p w14:paraId="1040DE97">
      <w:pPr>
        <w:autoSpaceDE w:val="0"/>
        <w:autoSpaceDN w:val="0"/>
        <w:adjustRightInd w:val="0"/>
        <w:snapToGrid w:val="0"/>
        <w:spacing w:line="360" w:lineRule="auto"/>
        <w:jc w:val="center"/>
        <w:rPr>
          <w:rFonts w:hint="eastAsia" w:ascii="宋体" w:hAnsi="宋体" w:cs="宋体"/>
          <w:color w:val="auto"/>
          <w:sz w:val="36"/>
          <w:szCs w:val="36"/>
          <w:lang w:val="zh-CN"/>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p>
    <w:p w14:paraId="7BE0B7F3">
      <w:pPr>
        <w:autoSpaceDE w:val="0"/>
        <w:autoSpaceDN w:val="0"/>
        <w:adjustRightInd w:val="0"/>
        <w:snapToGrid w:val="0"/>
        <w:spacing w:line="800" w:lineRule="exact"/>
        <w:jc w:val="center"/>
        <w:outlineLvl w:val="0"/>
        <w:rPr>
          <w:rFonts w:hint="eastAsia" w:ascii="宋体" w:hAnsi="宋体" w:cs="宋体"/>
          <w:color w:val="auto"/>
          <w:sz w:val="36"/>
          <w:szCs w:val="36"/>
          <w:lang w:val="zh-CN"/>
        </w:rPr>
      </w:pPr>
      <w:r>
        <w:rPr>
          <w:rFonts w:hint="eastAsia" w:ascii="宋体" w:hAnsi="宋体" w:cs="宋体"/>
          <w:color w:val="auto"/>
          <w:sz w:val="36"/>
          <w:szCs w:val="36"/>
          <w:lang w:val="zh-CN"/>
        </w:rPr>
        <w:t>第一部分 磋商通告</w:t>
      </w:r>
    </w:p>
    <w:p w14:paraId="60D08CE3">
      <w:pPr>
        <w:wordWrap w:val="0"/>
        <w:adjustRightInd w:val="0"/>
        <w:snapToGrid w:val="0"/>
        <w:spacing w:line="460" w:lineRule="exact"/>
        <w:ind w:firstLine="560" w:firstLineChars="200"/>
        <w:rPr>
          <w:rFonts w:hint="eastAsia" w:ascii="宋体" w:hAnsi="宋体" w:cs="宋体"/>
          <w:color w:val="auto"/>
          <w:sz w:val="28"/>
          <w:szCs w:val="28"/>
          <w:lang w:val="zh-CN"/>
        </w:rPr>
      </w:pPr>
      <w:r>
        <w:rPr>
          <w:rFonts w:hint="eastAsia" w:ascii="宋体" w:hAnsi="宋体" w:cs="宋体"/>
          <w:color w:val="auto"/>
          <w:sz w:val="28"/>
          <w:szCs w:val="28"/>
        </w:rPr>
        <w:t>受[</w:t>
      </w:r>
      <w:r>
        <w:rPr>
          <w:rFonts w:hint="eastAsia" w:ascii="宋体" w:hAnsi="宋体" w:cs="宋体"/>
          <w:color w:val="auto"/>
          <w:sz w:val="28"/>
          <w:szCs w:val="28"/>
          <w:lang w:eastAsia="zh-CN"/>
        </w:rPr>
        <w:t>江苏省南通卫生高等职业技术学校</w:t>
      </w:r>
      <w:r>
        <w:rPr>
          <w:rFonts w:hint="eastAsia" w:ascii="宋体" w:hAnsi="宋体" w:cs="宋体"/>
          <w:color w:val="auto"/>
          <w:sz w:val="28"/>
          <w:szCs w:val="28"/>
        </w:rPr>
        <w:t>]的委托，江苏中润工程建设咨询有限公司就[</w:t>
      </w:r>
      <w:r>
        <w:rPr>
          <w:rFonts w:hint="eastAsia" w:ascii="宋体" w:hAnsi="宋体" w:cs="宋体"/>
          <w:color w:val="auto"/>
          <w:sz w:val="28"/>
          <w:szCs w:val="28"/>
          <w:lang w:eastAsia="zh-CN"/>
        </w:rPr>
        <w:t>2024江苏省南通卫生高等职业技术学校网络安全运维服务项目</w:t>
      </w:r>
      <w:r>
        <w:rPr>
          <w:rFonts w:hint="eastAsia" w:ascii="宋体" w:hAnsi="宋体" w:cs="宋体"/>
          <w:color w:val="auto"/>
          <w:sz w:val="28"/>
          <w:szCs w:val="28"/>
        </w:rPr>
        <w:t>](项目编号:</w:t>
      </w:r>
      <w:r>
        <w:rPr>
          <w:rFonts w:hint="eastAsia" w:ascii="宋体" w:hAnsi="宋体" w:cs="宋体"/>
          <w:color w:val="auto"/>
          <w:sz w:val="28"/>
          <w:szCs w:val="28"/>
          <w:lang w:eastAsia="zh-CN"/>
        </w:rPr>
        <w:t>WXBS2024093</w:t>
      </w:r>
      <w:r>
        <w:rPr>
          <w:rFonts w:hint="eastAsia" w:ascii="宋体" w:hAnsi="宋体" w:cs="宋体"/>
          <w:color w:val="auto"/>
          <w:sz w:val="28"/>
          <w:szCs w:val="28"/>
        </w:rPr>
        <w:t>)进行磋商采购，欢迎符合条件的供应商参加磋商。</w:t>
      </w:r>
    </w:p>
    <w:p w14:paraId="17E8E5A6">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项目概况</w:t>
      </w:r>
    </w:p>
    <w:p w14:paraId="21ACA864">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eastAsia="zh-CN"/>
        </w:rPr>
        <w:t>江苏省南通卫生高等职业技术学校</w:t>
      </w:r>
      <w:r>
        <w:rPr>
          <w:rFonts w:hint="eastAsia" w:ascii="宋体" w:hAnsi="宋体" w:cs="宋体"/>
          <w:color w:val="auto"/>
          <w:sz w:val="28"/>
          <w:szCs w:val="28"/>
        </w:rPr>
        <w:t>）的（</w:t>
      </w:r>
      <w:r>
        <w:rPr>
          <w:rFonts w:hint="eastAsia" w:ascii="宋体" w:hAnsi="宋体" w:cs="宋体"/>
          <w:color w:val="auto"/>
          <w:sz w:val="28"/>
          <w:szCs w:val="28"/>
          <w:lang w:eastAsia="zh-CN"/>
        </w:rPr>
        <w:t>2024江苏省南通卫生高等职业技术学校网络安全运维服务项目</w:t>
      </w:r>
      <w:r>
        <w:rPr>
          <w:rFonts w:hint="eastAsia" w:ascii="宋体" w:hAnsi="宋体" w:cs="宋体"/>
          <w:color w:val="auto"/>
          <w:sz w:val="28"/>
          <w:szCs w:val="28"/>
        </w:rPr>
        <w:t>)的潜在供应商应在</w:t>
      </w:r>
      <w:r>
        <w:rPr>
          <w:rFonts w:hint="eastAsia" w:ascii="宋体" w:hAnsi="宋体" w:cs="宋体"/>
          <w:color w:val="auto"/>
          <w:sz w:val="28"/>
          <w:szCs w:val="28"/>
          <w:lang w:eastAsia="zh-CN"/>
        </w:rPr>
        <w:t>（江苏省南通卫生高等职业技术学校网站或南通市卫生健康委员会网站）</w:t>
      </w:r>
      <w:r>
        <w:rPr>
          <w:rFonts w:hint="eastAsia" w:ascii="宋体" w:hAnsi="宋体" w:cs="宋体"/>
          <w:color w:val="auto"/>
          <w:sz w:val="28"/>
          <w:szCs w:val="28"/>
        </w:rPr>
        <w:t>获取采购文件，并于2024年</w:t>
      </w:r>
      <w:r>
        <w:rPr>
          <w:rFonts w:hint="eastAsia" w:ascii="宋体" w:hAnsi="宋体" w:cs="宋体"/>
          <w:color w:val="auto"/>
          <w:sz w:val="28"/>
          <w:szCs w:val="28"/>
          <w:lang w:val="en-US" w:eastAsia="zh-CN"/>
        </w:rPr>
        <w:t xml:space="preserve"> 10</w:t>
      </w:r>
      <w:r>
        <w:rPr>
          <w:rFonts w:hint="eastAsia" w:ascii="宋体" w:hAnsi="宋体" w:cs="宋体"/>
          <w:color w:val="auto"/>
          <w:sz w:val="28"/>
          <w:szCs w:val="28"/>
        </w:rPr>
        <w:t>月</w:t>
      </w:r>
      <w:r>
        <w:rPr>
          <w:rFonts w:hint="eastAsia" w:ascii="宋体" w:hAnsi="宋体" w:cs="宋体"/>
          <w:color w:val="auto"/>
          <w:sz w:val="28"/>
          <w:szCs w:val="28"/>
          <w:lang w:val="en-US" w:eastAsia="zh-CN"/>
        </w:rPr>
        <w:t>21</w:t>
      </w:r>
      <w:r>
        <w:rPr>
          <w:rFonts w:hint="eastAsia" w:ascii="宋体" w:hAnsi="宋体" w:cs="宋体"/>
          <w:color w:val="auto"/>
          <w:sz w:val="28"/>
          <w:szCs w:val="28"/>
        </w:rPr>
        <w:t>日09点30分（北京时间）前提交响应文件。</w:t>
      </w:r>
    </w:p>
    <w:p w14:paraId="3CD150BD">
      <w:pPr>
        <w:widowControl/>
        <w:shd w:val="clear" w:color="auto" w:fill="FFFFFF"/>
        <w:adjustRightInd w:val="0"/>
        <w:snapToGrid w:val="0"/>
        <w:spacing w:line="460" w:lineRule="exact"/>
        <w:ind w:firstLine="590" w:firstLineChars="200"/>
        <w:outlineLvl w:val="1"/>
        <w:rPr>
          <w:rFonts w:hint="eastAsia" w:ascii="宋体" w:hAnsi="宋体" w:cs="宋体"/>
          <w:b/>
          <w:color w:val="auto"/>
          <w:spacing w:val="7"/>
          <w:kern w:val="0"/>
          <w:sz w:val="28"/>
          <w:szCs w:val="28"/>
        </w:rPr>
      </w:pPr>
      <w:r>
        <w:rPr>
          <w:rFonts w:hint="eastAsia" w:ascii="宋体" w:hAnsi="宋体" w:cs="宋体"/>
          <w:b/>
          <w:color w:val="auto"/>
          <w:spacing w:val="7"/>
          <w:kern w:val="0"/>
          <w:sz w:val="28"/>
          <w:szCs w:val="28"/>
        </w:rPr>
        <w:t>一、项目基本情况</w:t>
      </w:r>
    </w:p>
    <w:p w14:paraId="6A80241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项目编号：</w:t>
      </w:r>
      <w:r>
        <w:rPr>
          <w:rFonts w:hint="eastAsia" w:ascii="宋体" w:hAnsi="宋体" w:cs="宋体"/>
          <w:color w:val="auto"/>
          <w:sz w:val="28"/>
          <w:szCs w:val="28"/>
          <w:lang w:eastAsia="zh-CN"/>
        </w:rPr>
        <w:t>WXBS2024093</w:t>
      </w:r>
      <w:r>
        <w:rPr>
          <w:rFonts w:hint="eastAsia" w:ascii="宋体" w:hAnsi="宋体" w:cs="宋体"/>
          <w:color w:val="auto"/>
          <w:sz w:val="28"/>
          <w:szCs w:val="28"/>
        </w:rPr>
        <w:t xml:space="preserve"> </w:t>
      </w:r>
    </w:p>
    <w:p w14:paraId="4B7C994B">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项目名称：</w:t>
      </w:r>
      <w:r>
        <w:rPr>
          <w:rFonts w:hint="eastAsia" w:ascii="宋体" w:hAnsi="宋体" w:cs="宋体"/>
          <w:color w:val="auto"/>
          <w:sz w:val="28"/>
          <w:szCs w:val="28"/>
          <w:lang w:eastAsia="zh-CN"/>
        </w:rPr>
        <w:t>2024江苏省南通卫生高等职业技术学校网络安全运维服务项目</w:t>
      </w:r>
    </w:p>
    <w:p w14:paraId="7902562B">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项目类型：服务</w:t>
      </w:r>
    </w:p>
    <w:p w14:paraId="582FCF23">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所属行业：其他未列明行业</w:t>
      </w:r>
    </w:p>
    <w:p w14:paraId="40B67980">
      <w:pPr>
        <w:adjustRightInd w:val="0"/>
        <w:snapToGrid w:val="0"/>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rPr>
        <w:t>预算金额：</w:t>
      </w:r>
      <w:r>
        <w:rPr>
          <w:rFonts w:hint="eastAsia" w:ascii="宋体" w:hAnsi="宋体" w:cs="宋体"/>
          <w:color w:val="auto"/>
          <w:sz w:val="28"/>
          <w:szCs w:val="28"/>
          <w:lang w:val="en-US" w:eastAsia="zh-CN"/>
        </w:rPr>
        <w:t>16</w:t>
      </w:r>
      <w:r>
        <w:rPr>
          <w:rFonts w:hint="eastAsia" w:ascii="宋体" w:hAnsi="宋体" w:cs="宋体"/>
          <w:color w:val="auto"/>
          <w:sz w:val="28"/>
          <w:szCs w:val="28"/>
        </w:rPr>
        <w:t>万元</w:t>
      </w:r>
      <w:r>
        <w:rPr>
          <w:rFonts w:hint="eastAsia" w:ascii="宋体" w:hAnsi="宋体" w:cs="宋体"/>
          <w:color w:val="auto"/>
          <w:sz w:val="28"/>
          <w:szCs w:val="28"/>
          <w:lang w:val="en-US" w:eastAsia="zh-CN"/>
        </w:rPr>
        <w:t>/年</w:t>
      </w:r>
    </w:p>
    <w:p w14:paraId="7075704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最高限价：</w:t>
      </w:r>
      <w:r>
        <w:rPr>
          <w:rFonts w:hint="eastAsia" w:ascii="宋体" w:hAnsi="宋体" w:cs="宋体"/>
          <w:color w:val="auto"/>
          <w:sz w:val="28"/>
          <w:szCs w:val="28"/>
          <w:lang w:val="en-US" w:eastAsia="zh-CN"/>
        </w:rPr>
        <w:t>16</w:t>
      </w:r>
      <w:r>
        <w:rPr>
          <w:rFonts w:hint="eastAsia" w:ascii="宋体" w:hAnsi="宋体" w:cs="宋体"/>
          <w:color w:val="auto"/>
          <w:sz w:val="28"/>
          <w:szCs w:val="28"/>
        </w:rPr>
        <w:t>万元</w:t>
      </w:r>
      <w:r>
        <w:rPr>
          <w:rFonts w:hint="eastAsia" w:ascii="宋体" w:hAnsi="宋体" w:cs="宋体"/>
          <w:color w:val="auto"/>
          <w:sz w:val="28"/>
          <w:szCs w:val="28"/>
          <w:lang w:val="en-US" w:eastAsia="zh-CN"/>
        </w:rPr>
        <w:t>/年</w:t>
      </w:r>
      <w:r>
        <w:rPr>
          <w:rFonts w:hint="eastAsia" w:ascii="宋体" w:hAnsi="宋体" w:cs="宋体"/>
          <w:color w:val="auto"/>
          <w:sz w:val="28"/>
          <w:szCs w:val="28"/>
        </w:rPr>
        <w:t>，投标报价超过最高限价按无效标处理。</w:t>
      </w:r>
    </w:p>
    <w:p w14:paraId="62D86C2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采购需求：具体详见磋商文件，请仔细研究。</w:t>
      </w:r>
    </w:p>
    <w:p w14:paraId="78AEF0DD">
      <w:pPr>
        <w:adjustRightInd w:val="0"/>
        <w:snapToGrid w:val="0"/>
        <w:spacing w:line="46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lang w:eastAsia="zh-CN"/>
        </w:rPr>
        <w:t>服务</w:t>
      </w:r>
      <w:r>
        <w:rPr>
          <w:rFonts w:hint="eastAsia" w:ascii="宋体" w:hAnsi="宋体" w:cs="宋体"/>
          <w:b w:val="0"/>
          <w:bCs w:val="0"/>
          <w:sz w:val="28"/>
          <w:szCs w:val="28"/>
        </w:rPr>
        <w:t>期：1年，自签订合同之日起开始。</w:t>
      </w:r>
    </w:p>
    <w:p w14:paraId="385E1D9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本项目是否接受联合体投标：否。</w:t>
      </w:r>
    </w:p>
    <w:p w14:paraId="37543BE9">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二、供应商的资格要求：</w:t>
      </w:r>
    </w:p>
    <w:p w14:paraId="0E975F01">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cs="宋体"/>
          <w:sz w:val="28"/>
          <w:szCs w:val="28"/>
        </w:rPr>
        <w:t>1</w:t>
      </w:r>
      <w:r>
        <w:rPr>
          <w:rFonts w:hint="eastAsia" w:ascii="宋体" w:hAnsi="宋体" w:cs="宋体"/>
          <w:sz w:val="28"/>
          <w:szCs w:val="28"/>
          <w:lang w:val="en-US" w:eastAsia="zh-CN"/>
        </w:rPr>
        <w:t>.</w:t>
      </w:r>
      <w:r>
        <w:rPr>
          <w:rFonts w:hint="eastAsia" w:ascii="宋体" w:hAnsi="宋体" w:cs="宋体"/>
          <w:sz w:val="28"/>
          <w:szCs w:val="28"/>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673EC48E">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具有独立法人资格，具备有效的营业执照；</w:t>
      </w:r>
    </w:p>
    <w:p w14:paraId="4AB1291C">
      <w:pPr>
        <w:adjustRightInd w:val="0"/>
        <w:snapToGrid w:val="0"/>
        <w:spacing w:line="460" w:lineRule="exact"/>
        <w:ind w:firstLine="560" w:firstLineChars="200"/>
        <w:rPr>
          <w:rFonts w:hint="eastAsia" w:ascii="宋体" w:hAnsi="宋体" w:cs="宋体"/>
          <w:color w:val="auto"/>
          <w:sz w:val="28"/>
          <w:szCs w:val="28"/>
          <w:lang w:eastAsia="zh-CN"/>
        </w:rPr>
      </w:pPr>
      <w:r>
        <w:rPr>
          <w:rFonts w:hint="eastAsia" w:ascii="宋体" w:hAnsi="宋体" w:eastAsia="宋体" w:cs="宋体"/>
          <w:color w:val="auto"/>
          <w:sz w:val="28"/>
          <w:szCs w:val="28"/>
        </w:rPr>
        <w:t>3</w:t>
      </w:r>
      <w:bookmarkStart w:id="0" w:name="OLE_LINK3"/>
      <w:r>
        <w:rPr>
          <w:rFonts w:hint="eastAsia" w:ascii="宋体" w:hAnsi="宋体" w:cs="宋体"/>
          <w:color w:val="auto"/>
          <w:sz w:val="28"/>
          <w:szCs w:val="28"/>
          <w:lang w:eastAsia="zh-CN"/>
        </w:rPr>
        <w:t>.</w:t>
      </w:r>
      <w:r>
        <w:rPr>
          <w:rFonts w:hint="eastAsia" w:ascii="宋体" w:hAnsi="宋体" w:eastAsia="宋体" w:cs="宋体"/>
          <w:color w:val="auto"/>
          <w:sz w:val="28"/>
          <w:szCs w:val="28"/>
        </w:rPr>
        <w:t>未被 “信用中国”网站(www.creditchina.gov.cn)列入信用记录失信被执行人</w:t>
      </w:r>
      <w:bookmarkEnd w:id="0"/>
      <w:r>
        <w:rPr>
          <w:rFonts w:hint="eastAsia" w:ascii="宋体" w:hAnsi="宋体" w:eastAsia="宋体" w:cs="宋体"/>
          <w:color w:val="auto"/>
          <w:sz w:val="28"/>
          <w:szCs w:val="28"/>
        </w:rPr>
        <w:t>，未被中国政府采购网（www.ccgp.gov.cn）等渠道列入政府采购严重违法失信行为记录名单</w:t>
      </w:r>
      <w:r>
        <w:rPr>
          <w:rFonts w:hint="eastAsia" w:ascii="宋体" w:hAnsi="宋体" w:cs="宋体"/>
          <w:color w:val="auto"/>
          <w:sz w:val="28"/>
          <w:szCs w:val="28"/>
          <w:lang w:eastAsia="zh-CN"/>
        </w:rPr>
        <w:t>；</w:t>
      </w:r>
    </w:p>
    <w:p w14:paraId="31CEFA10">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4</w:t>
      </w:r>
      <w:r>
        <w:rPr>
          <w:rFonts w:hint="eastAsia" w:ascii="宋体" w:hAnsi="宋体" w:cs="宋体"/>
          <w:color w:val="auto"/>
          <w:sz w:val="28"/>
          <w:szCs w:val="28"/>
          <w:lang w:eastAsia="zh-CN"/>
        </w:rPr>
        <w:t>.</w:t>
      </w:r>
      <w:r>
        <w:rPr>
          <w:rFonts w:hint="eastAsia" w:ascii="宋体" w:hAnsi="宋体" w:eastAsia="宋体" w:cs="宋体"/>
          <w:color w:val="auto"/>
          <w:sz w:val="28"/>
          <w:szCs w:val="28"/>
        </w:rPr>
        <w:t>单位负责人为同一人或者存在直接控股、管理关系的不同供应商，不得参加同一合同项下的政府采购活动。法定代表人为同一个人的两个及两个以上法人，母公司、全资子公司及其控股公司，都不得参加同一合同项目的采购活动</w:t>
      </w:r>
      <w:r>
        <w:rPr>
          <w:rFonts w:hint="eastAsia" w:ascii="宋体" w:hAnsi="宋体" w:cs="宋体"/>
          <w:color w:val="auto"/>
          <w:sz w:val="28"/>
          <w:szCs w:val="28"/>
          <w:lang w:eastAsia="zh-CN"/>
        </w:rPr>
        <w:t>。</w:t>
      </w:r>
    </w:p>
    <w:p w14:paraId="7A87437E">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三、获取采购文件</w:t>
      </w:r>
    </w:p>
    <w:p w14:paraId="205611B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时间：2024年</w:t>
      </w:r>
      <w:r>
        <w:rPr>
          <w:rFonts w:hint="eastAsia" w:ascii="宋体" w:hAnsi="宋体" w:cs="宋体"/>
          <w:color w:val="auto"/>
          <w:sz w:val="28"/>
          <w:szCs w:val="28"/>
          <w:lang w:val="en-US" w:eastAsia="zh-CN"/>
        </w:rPr>
        <w:t>10</w:t>
      </w:r>
      <w:r>
        <w:rPr>
          <w:rFonts w:hint="eastAsia" w:ascii="宋体" w:hAnsi="宋体" w:cs="宋体"/>
          <w:color w:val="auto"/>
          <w:sz w:val="28"/>
          <w:szCs w:val="28"/>
        </w:rPr>
        <w:t>月</w:t>
      </w:r>
      <w:r>
        <w:rPr>
          <w:rFonts w:hint="eastAsia" w:ascii="宋体" w:hAnsi="宋体" w:cs="宋体"/>
          <w:color w:val="auto"/>
          <w:sz w:val="28"/>
          <w:szCs w:val="28"/>
          <w:lang w:val="en-US" w:eastAsia="zh-CN"/>
        </w:rPr>
        <w:t>11</w:t>
      </w:r>
      <w:r>
        <w:rPr>
          <w:rFonts w:hint="eastAsia" w:ascii="宋体" w:hAnsi="宋体" w:cs="宋体"/>
          <w:color w:val="auto"/>
          <w:sz w:val="28"/>
          <w:szCs w:val="28"/>
        </w:rPr>
        <w:t>日至2024年</w:t>
      </w:r>
      <w:r>
        <w:rPr>
          <w:rFonts w:hint="eastAsia" w:ascii="宋体" w:hAnsi="宋体" w:cs="宋体"/>
          <w:color w:val="auto"/>
          <w:sz w:val="28"/>
          <w:szCs w:val="28"/>
          <w:lang w:val="en-US" w:eastAsia="zh-CN"/>
        </w:rPr>
        <w:t>10</w:t>
      </w:r>
      <w:r>
        <w:rPr>
          <w:rFonts w:hint="eastAsia" w:ascii="宋体" w:hAnsi="宋体" w:cs="宋体"/>
          <w:color w:val="auto"/>
          <w:sz w:val="28"/>
          <w:szCs w:val="28"/>
        </w:rPr>
        <w:t>月</w:t>
      </w:r>
      <w:r>
        <w:rPr>
          <w:rFonts w:hint="eastAsia" w:ascii="宋体" w:hAnsi="宋体" w:cs="宋体"/>
          <w:color w:val="auto"/>
          <w:sz w:val="28"/>
          <w:szCs w:val="28"/>
          <w:lang w:val="en-US" w:eastAsia="zh-CN"/>
        </w:rPr>
        <w:t>20</w:t>
      </w:r>
      <w:r>
        <w:rPr>
          <w:rFonts w:hint="eastAsia" w:ascii="宋体" w:hAnsi="宋体" w:cs="宋体"/>
          <w:color w:val="auto"/>
          <w:sz w:val="28"/>
          <w:szCs w:val="28"/>
        </w:rPr>
        <w:t>日；</w:t>
      </w:r>
    </w:p>
    <w:p w14:paraId="7B1CD7F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地点：</w:t>
      </w:r>
      <w:r>
        <w:rPr>
          <w:rFonts w:hint="eastAsia" w:ascii="宋体" w:hAnsi="宋体" w:cs="宋体"/>
          <w:color w:val="auto"/>
          <w:sz w:val="28"/>
          <w:szCs w:val="28"/>
          <w:lang w:eastAsia="zh-CN"/>
        </w:rPr>
        <w:t>江苏省南通卫生高等职业技术学校网站或南通市卫生健康委员会网站</w:t>
      </w:r>
    </w:p>
    <w:p w14:paraId="5670916B">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方式：自行下载磋商文件</w:t>
      </w:r>
    </w:p>
    <w:p w14:paraId="45A21128">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四、提交响应文件截止时间、磋商时间和地点</w:t>
      </w:r>
    </w:p>
    <w:p w14:paraId="604A6488">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2024年</w:t>
      </w:r>
      <w:r>
        <w:rPr>
          <w:rFonts w:hint="eastAsia" w:ascii="宋体" w:hAnsi="宋体" w:cs="宋体"/>
          <w:color w:val="auto"/>
          <w:sz w:val="28"/>
          <w:szCs w:val="28"/>
          <w:lang w:val="en-US" w:eastAsia="zh-CN"/>
        </w:rPr>
        <w:t>10</w:t>
      </w:r>
      <w:r>
        <w:rPr>
          <w:rFonts w:hint="eastAsia" w:ascii="宋体" w:hAnsi="宋体" w:cs="宋体"/>
          <w:color w:val="auto"/>
          <w:sz w:val="28"/>
          <w:szCs w:val="28"/>
        </w:rPr>
        <w:t>月</w:t>
      </w:r>
      <w:r>
        <w:rPr>
          <w:rFonts w:hint="eastAsia" w:ascii="宋体" w:hAnsi="宋体" w:cs="宋体"/>
          <w:color w:val="auto"/>
          <w:sz w:val="28"/>
          <w:szCs w:val="28"/>
          <w:lang w:val="en-US" w:eastAsia="zh-CN"/>
        </w:rPr>
        <w:t>21</w:t>
      </w:r>
      <w:r>
        <w:rPr>
          <w:rFonts w:hint="eastAsia" w:ascii="宋体" w:hAnsi="宋体" w:cs="宋体"/>
          <w:color w:val="auto"/>
          <w:sz w:val="28"/>
          <w:szCs w:val="28"/>
        </w:rPr>
        <w:t>日09点30分（北京时间），逾时，采购人将拒绝接受磋商响应文件。</w:t>
      </w:r>
    </w:p>
    <w:p w14:paraId="060C9AE8">
      <w:pPr>
        <w:adjustRightInd w:val="0"/>
        <w:snapToGrid w:val="0"/>
        <w:spacing w:line="460" w:lineRule="exact"/>
        <w:ind w:firstLine="560" w:firstLineChars="200"/>
        <w:rPr>
          <w:rFonts w:hint="eastAsia" w:ascii="宋体" w:hAnsi="宋体" w:cs="宋体"/>
          <w:i/>
          <w:color w:val="auto"/>
          <w:sz w:val="28"/>
          <w:szCs w:val="28"/>
          <w:u w:val="single"/>
        </w:rPr>
      </w:pPr>
      <w:r>
        <w:rPr>
          <w:rFonts w:hint="eastAsia" w:ascii="宋体" w:hAnsi="宋体" w:cs="宋体"/>
          <w:color w:val="auto"/>
          <w:sz w:val="28"/>
          <w:szCs w:val="28"/>
        </w:rPr>
        <w:t>地点：南通市经济技术开发区振兴东路288号南通卫生高职校行政楼1408室，如有变动另行通知。</w:t>
      </w:r>
    </w:p>
    <w:p w14:paraId="364E9D21">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五、</w:t>
      </w:r>
      <w:r>
        <w:rPr>
          <w:rFonts w:hint="eastAsia" w:ascii="宋体" w:hAnsi="宋体" w:cs="宋体"/>
          <w:b/>
          <w:color w:val="auto"/>
          <w:sz w:val="28"/>
          <w:szCs w:val="28"/>
          <w:lang w:eastAsia="zh-CN"/>
        </w:rPr>
        <w:t>通告</w:t>
      </w:r>
      <w:r>
        <w:rPr>
          <w:rFonts w:hint="eastAsia" w:ascii="宋体" w:hAnsi="宋体" w:cs="宋体"/>
          <w:b/>
          <w:color w:val="auto"/>
          <w:sz w:val="28"/>
          <w:szCs w:val="28"/>
        </w:rPr>
        <w:t>期限</w:t>
      </w:r>
    </w:p>
    <w:p w14:paraId="4851EBD8">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自本</w:t>
      </w:r>
      <w:r>
        <w:rPr>
          <w:rFonts w:hint="eastAsia" w:ascii="宋体" w:hAnsi="宋体" w:cs="宋体"/>
          <w:color w:val="auto"/>
          <w:sz w:val="28"/>
          <w:szCs w:val="28"/>
          <w:lang w:eastAsia="zh-CN"/>
        </w:rPr>
        <w:t>通告</w:t>
      </w:r>
      <w:r>
        <w:rPr>
          <w:rFonts w:hint="eastAsia" w:ascii="宋体" w:hAnsi="宋体" w:cs="宋体"/>
          <w:color w:val="auto"/>
          <w:sz w:val="28"/>
          <w:szCs w:val="28"/>
        </w:rPr>
        <w:t>发布之日起5个工作日。</w:t>
      </w:r>
    </w:p>
    <w:p w14:paraId="39FBA432">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六、其他补充事宜</w:t>
      </w:r>
    </w:p>
    <w:p w14:paraId="537B65A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1.投标保证金：免收</w:t>
      </w:r>
    </w:p>
    <w:p w14:paraId="151E160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2.项目磋商活动模式：见面磋商模式，供应商在</w:t>
      </w:r>
      <w:r>
        <w:rPr>
          <w:rFonts w:hint="eastAsia" w:ascii="宋体" w:hAnsi="宋体" w:cs="宋体"/>
          <w:color w:val="auto"/>
          <w:sz w:val="28"/>
          <w:szCs w:val="28"/>
          <w:u w:val="single"/>
        </w:rPr>
        <w:t>南通市经济技术开发区振兴东路288号南通卫生高职校行政楼1408室</w:t>
      </w:r>
      <w:r>
        <w:rPr>
          <w:rFonts w:hint="eastAsia" w:ascii="宋体" w:hAnsi="宋体" w:cs="宋体"/>
          <w:color w:val="auto"/>
          <w:sz w:val="28"/>
          <w:szCs w:val="28"/>
        </w:rPr>
        <w:t>参加磋商活动。</w:t>
      </w:r>
    </w:p>
    <w:p w14:paraId="373AF63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3.项目演示、样品：无。</w:t>
      </w:r>
    </w:p>
    <w:p w14:paraId="66606CB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4.对项目需求部分（供应商资格要求、项目需求、商务技术评分标准）的询问、质疑请向采购人提出，由采购人负责答复；对项目磋商文件其它部分的询问请向磋商文件制作人或项目磋商经办人提出。</w:t>
      </w:r>
    </w:p>
    <w:p w14:paraId="24EF604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32D152F7">
      <w:pPr>
        <w:widowControl/>
        <w:shd w:val="clear" w:color="auto" w:fill="FFFFFF"/>
        <w:adjustRightInd w:val="0"/>
        <w:snapToGrid w:val="0"/>
        <w:spacing w:line="460" w:lineRule="exact"/>
        <w:ind w:firstLine="590" w:firstLineChars="200"/>
        <w:outlineLvl w:val="1"/>
        <w:rPr>
          <w:rFonts w:hint="eastAsia" w:ascii="宋体" w:hAnsi="宋体" w:cs="宋体"/>
          <w:b/>
          <w:color w:val="auto"/>
          <w:spacing w:val="7"/>
          <w:kern w:val="0"/>
          <w:sz w:val="28"/>
          <w:szCs w:val="28"/>
        </w:rPr>
      </w:pPr>
      <w:r>
        <w:rPr>
          <w:rFonts w:hint="eastAsia" w:ascii="宋体" w:hAnsi="宋体" w:cs="宋体"/>
          <w:b/>
          <w:color w:val="auto"/>
          <w:spacing w:val="7"/>
          <w:kern w:val="0"/>
          <w:sz w:val="28"/>
          <w:szCs w:val="28"/>
        </w:rPr>
        <w:t>七、凡对本次采购提出询问，请按以下方式联系。</w:t>
      </w:r>
    </w:p>
    <w:p w14:paraId="5928456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1.采购人信息</w:t>
      </w:r>
    </w:p>
    <w:p w14:paraId="2AEDAA8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名称：江苏省南通卫生高等职业技术学校</w:t>
      </w:r>
    </w:p>
    <w:p w14:paraId="6684B37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地址：南通市崇川区南通经济开发区振兴路288号</w:t>
      </w:r>
    </w:p>
    <w:p w14:paraId="556DC91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采购需求联系人：陈</w:t>
      </w:r>
      <w:r>
        <w:rPr>
          <w:rFonts w:hint="eastAsia" w:ascii="宋体" w:hAnsi="宋体" w:cs="宋体"/>
          <w:color w:val="auto"/>
          <w:sz w:val="28"/>
          <w:szCs w:val="28"/>
          <w:lang w:val="en-US" w:eastAsia="zh-CN"/>
        </w:rPr>
        <w:t xml:space="preserve">老师 </w:t>
      </w:r>
      <w:r>
        <w:rPr>
          <w:rFonts w:hint="eastAsia" w:ascii="宋体" w:hAnsi="宋体" w:cs="宋体"/>
          <w:color w:val="auto"/>
          <w:sz w:val="28"/>
          <w:szCs w:val="28"/>
        </w:rPr>
        <w:t xml:space="preserve"> 联系电话：13814600692</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w:t>
      </w:r>
    </w:p>
    <w:p w14:paraId="7E277F5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采购部门联系人：</w:t>
      </w:r>
      <w:r>
        <w:rPr>
          <w:rFonts w:hint="eastAsia" w:ascii="宋体" w:hAnsi="宋体" w:cs="宋体"/>
          <w:color w:val="auto"/>
          <w:sz w:val="28"/>
          <w:szCs w:val="28"/>
          <w:lang w:val="en-US" w:eastAsia="zh-CN"/>
        </w:rPr>
        <w:t>杨</w:t>
      </w:r>
      <w:r>
        <w:rPr>
          <w:rFonts w:hint="eastAsia" w:ascii="宋体" w:hAnsi="宋体" w:cs="宋体"/>
          <w:color w:val="auto"/>
          <w:sz w:val="28"/>
          <w:szCs w:val="28"/>
        </w:rPr>
        <w:t>老师  联系电话：1</w:t>
      </w:r>
      <w:r>
        <w:rPr>
          <w:rFonts w:hint="eastAsia" w:ascii="宋体" w:hAnsi="宋体" w:cs="宋体"/>
          <w:color w:val="auto"/>
          <w:sz w:val="28"/>
          <w:szCs w:val="28"/>
          <w:lang w:val="en-US" w:eastAsia="zh-CN"/>
        </w:rPr>
        <w:t>7798880869</w:t>
      </w:r>
      <w:r>
        <w:rPr>
          <w:rFonts w:hint="eastAsia" w:ascii="宋体" w:hAnsi="宋体" w:cs="宋体"/>
          <w:color w:val="auto"/>
          <w:sz w:val="28"/>
          <w:szCs w:val="28"/>
        </w:rPr>
        <w:t xml:space="preserve"> </w:t>
      </w:r>
    </w:p>
    <w:p w14:paraId="2F61378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2.采购代理机构信息</w:t>
      </w:r>
    </w:p>
    <w:p w14:paraId="731A98B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名称：江苏中润工程建设咨询有限公司</w:t>
      </w:r>
    </w:p>
    <w:p w14:paraId="1F4B973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地址：南通市崇川路58号南通产业技术研究院9号楼1004室</w:t>
      </w:r>
    </w:p>
    <w:p w14:paraId="1CDAB192">
      <w:pPr>
        <w:adjustRightInd w:val="0"/>
        <w:snapToGrid w:val="0"/>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rPr>
        <w:t>联系方式：王  工</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051355887688 </w:t>
      </w:r>
      <w:r>
        <w:rPr>
          <w:rFonts w:hint="eastAsia" w:ascii="宋体" w:hAnsi="宋体" w:cs="宋体"/>
          <w:color w:val="auto"/>
          <w:sz w:val="28"/>
          <w:szCs w:val="28"/>
          <w:lang w:val="en-US" w:eastAsia="zh-CN"/>
        </w:rPr>
        <w:t xml:space="preserve"> 13906272111</w:t>
      </w:r>
    </w:p>
    <w:p w14:paraId="69C39415">
      <w:pPr>
        <w:adjustRightInd w:val="0"/>
        <w:snapToGrid w:val="0"/>
        <w:spacing w:line="360" w:lineRule="auto"/>
        <w:jc w:val="center"/>
        <w:outlineLvl w:val="0"/>
        <w:rPr>
          <w:rFonts w:hint="eastAsia" w:ascii="宋体" w:hAnsi="宋体" w:cs="宋体"/>
          <w:bCs/>
          <w:color w:val="auto"/>
          <w:sz w:val="36"/>
          <w:szCs w:val="36"/>
        </w:rPr>
      </w:pPr>
      <w:bookmarkStart w:id="88" w:name="_GoBack"/>
      <w:bookmarkEnd w:id="88"/>
      <w:r>
        <w:rPr>
          <w:rFonts w:hint="eastAsia" w:ascii="宋体" w:hAnsi="宋体" w:cs="宋体"/>
          <w:bCs/>
          <w:color w:val="auto"/>
          <w:sz w:val="36"/>
          <w:szCs w:val="36"/>
        </w:rPr>
        <w:br w:type="page"/>
      </w:r>
      <w:r>
        <w:rPr>
          <w:rFonts w:hint="eastAsia" w:ascii="宋体" w:hAnsi="宋体" w:cs="宋体"/>
          <w:bCs/>
          <w:color w:val="auto"/>
          <w:sz w:val="36"/>
          <w:szCs w:val="36"/>
        </w:rPr>
        <w:t>第二部分 磋商须知</w:t>
      </w:r>
    </w:p>
    <w:p w14:paraId="7F449175">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1" w:name="_Toc513029203"/>
      <w:bookmarkStart w:id="2" w:name="_Toc120614214"/>
      <w:bookmarkStart w:id="3" w:name="_Toc20823275"/>
      <w:bookmarkStart w:id="4" w:name="_Toc16938519"/>
      <w:r>
        <w:rPr>
          <w:rFonts w:hint="eastAsia" w:ascii="宋体" w:hAnsi="宋体" w:cs="宋体"/>
          <w:b/>
          <w:bCs/>
          <w:color w:val="auto"/>
          <w:kern w:val="0"/>
          <w:sz w:val="28"/>
          <w:szCs w:val="28"/>
        </w:rPr>
        <w:t>一、总则</w:t>
      </w:r>
      <w:bookmarkEnd w:id="1"/>
      <w:bookmarkEnd w:id="2"/>
      <w:bookmarkEnd w:id="3"/>
      <w:bookmarkEnd w:id="4"/>
    </w:p>
    <w:p w14:paraId="2569C49B">
      <w:pPr>
        <w:keepNext/>
        <w:adjustRightInd w:val="0"/>
        <w:snapToGrid w:val="0"/>
        <w:spacing w:line="460" w:lineRule="exact"/>
        <w:ind w:firstLine="560" w:firstLineChars="200"/>
        <w:rPr>
          <w:rFonts w:hint="eastAsia" w:ascii="宋体" w:hAnsi="宋体" w:cs="宋体"/>
          <w:b/>
          <w:bCs/>
          <w:color w:val="auto"/>
          <w:kern w:val="0"/>
          <w:sz w:val="28"/>
          <w:szCs w:val="28"/>
        </w:rPr>
      </w:pPr>
      <w:bookmarkStart w:id="5" w:name="_Hlt16619475"/>
      <w:bookmarkEnd w:id="5"/>
      <w:bookmarkStart w:id="6" w:name="_Toc458694821"/>
      <w:bookmarkStart w:id="7" w:name="_Toc16938520"/>
      <w:bookmarkStart w:id="8" w:name="_Toc513029204"/>
      <w:bookmarkStart w:id="9" w:name="_Toc20823276"/>
      <w:r>
        <w:rPr>
          <w:rFonts w:hint="eastAsia" w:ascii="宋体" w:hAnsi="宋体" w:cs="宋体"/>
          <w:color w:val="auto"/>
          <w:kern w:val="0"/>
          <w:sz w:val="28"/>
          <w:szCs w:val="28"/>
        </w:rPr>
        <w:t>1</w:t>
      </w:r>
      <w:bookmarkEnd w:id="6"/>
      <w:r>
        <w:rPr>
          <w:rFonts w:hint="eastAsia" w:ascii="宋体" w:hAnsi="宋体" w:cs="宋体"/>
          <w:color w:val="auto"/>
          <w:kern w:val="0"/>
          <w:sz w:val="28"/>
          <w:szCs w:val="28"/>
        </w:rPr>
        <w:t>.采购方式</w:t>
      </w:r>
      <w:bookmarkEnd w:id="7"/>
      <w:bookmarkEnd w:id="8"/>
      <w:bookmarkEnd w:id="9"/>
    </w:p>
    <w:p w14:paraId="14E5B21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1.1 本次采取磋商方式，本磋商文件仅适用于磋商</w:t>
      </w:r>
      <w:r>
        <w:rPr>
          <w:rFonts w:hint="eastAsia" w:ascii="宋体" w:hAnsi="宋体" w:cs="宋体"/>
          <w:color w:val="auto"/>
          <w:sz w:val="28"/>
          <w:szCs w:val="28"/>
          <w:lang w:eastAsia="zh-CN"/>
        </w:rPr>
        <w:t>通告</w:t>
      </w:r>
      <w:r>
        <w:rPr>
          <w:rFonts w:hint="eastAsia" w:ascii="宋体" w:hAnsi="宋体" w:cs="宋体"/>
          <w:color w:val="auto"/>
          <w:sz w:val="28"/>
          <w:szCs w:val="28"/>
        </w:rPr>
        <w:t>中所述项目。</w:t>
      </w:r>
    </w:p>
    <w:p w14:paraId="6CDE4989">
      <w:pPr>
        <w:keepNext/>
        <w:adjustRightInd w:val="0"/>
        <w:snapToGrid w:val="0"/>
        <w:spacing w:line="460" w:lineRule="exact"/>
        <w:ind w:firstLine="560" w:firstLineChars="200"/>
        <w:rPr>
          <w:rFonts w:hint="eastAsia" w:ascii="宋体" w:hAnsi="宋体" w:cs="宋体"/>
          <w:b/>
          <w:bCs/>
          <w:color w:val="auto"/>
          <w:kern w:val="0"/>
          <w:sz w:val="28"/>
          <w:szCs w:val="28"/>
        </w:rPr>
      </w:pPr>
      <w:bookmarkStart w:id="10" w:name="_Toc16938521"/>
      <w:bookmarkStart w:id="11" w:name="_Toc513029205"/>
      <w:bookmarkStart w:id="12" w:name="_Toc20823277"/>
      <w:r>
        <w:rPr>
          <w:rFonts w:hint="eastAsia" w:ascii="宋体" w:hAnsi="宋体" w:cs="宋体"/>
          <w:color w:val="auto"/>
          <w:kern w:val="0"/>
          <w:sz w:val="28"/>
          <w:szCs w:val="28"/>
        </w:rPr>
        <w:t>2.合格的</w:t>
      </w:r>
      <w:bookmarkEnd w:id="10"/>
      <w:bookmarkEnd w:id="11"/>
      <w:bookmarkEnd w:id="12"/>
      <w:r>
        <w:rPr>
          <w:rFonts w:hint="eastAsia" w:ascii="宋体" w:hAnsi="宋体" w:cs="宋体"/>
          <w:color w:val="auto"/>
          <w:kern w:val="0"/>
          <w:sz w:val="28"/>
          <w:szCs w:val="28"/>
        </w:rPr>
        <w:t>供应商</w:t>
      </w:r>
    </w:p>
    <w:p w14:paraId="3FECFD0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2.1满足磋商</w:t>
      </w:r>
      <w:r>
        <w:rPr>
          <w:rFonts w:hint="eastAsia" w:ascii="宋体" w:hAnsi="宋体" w:cs="宋体"/>
          <w:color w:val="auto"/>
          <w:sz w:val="28"/>
          <w:szCs w:val="28"/>
          <w:lang w:eastAsia="zh-CN"/>
        </w:rPr>
        <w:t>通告</w:t>
      </w:r>
      <w:r>
        <w:rPr>
          <w:rFonts w:hint="eastAsia" w:ascii="宋体" w:hAnsi="宋体" w:cs="宋体"/>
          <w:color w:val="auto"/>
          <w:sz w:val="28"/>
          <w:szCs w:val="28"/>
        </w:rPr>
        <w:t>中供应商的资格要求的规定。</w:t>
      </w:r>
    </w:p>
    <w:p w14:paraId="505CA04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 满足本文件实质性条款的规定。</w:t>
      </w:r>
    </w:p>
    <w:p w14:paraId="1C613629">
      <w:pPr>
        <w:keepNext/>
        <w:adjustRightInd w:val="0"/>
        <w:snapToGrid w:val="0"/>
        <w:spacing w:line="460" w:lineRule="exact"/>
        <w:ind w:firstLine="560" w:firstLineChars="200"/>
        <w:rPr>
          <w:rFonts w:hint="eastAsia" w:ascii="宋体" w:hAnsi="宋体" w:cs="宋体"/>
          <w:b/>
          <w:bCs/>
          <w:color w:val="auto"/>
          <w:kern w:val="0"/>
          <w:sz w:val="28"/>
          <w:szCs w:val="28"/>
        </w:rPr>
      </w:pPr>
      <w:bookmarkStart w:id="13" w:name="_Toc513029206"/>
      <w:bookmarkStart w:id="14" w:name="_Toc16938522"/>
      <w:bookmarkStart w:id="15" w:name="_Toc20823278"/>
      <w:r>
        <w:rPr>
          <w:rFonts w:hint="eastAsia" w:ascii="宋体" w:hAnsi="宋体" w:cs="宋体"/>
          <w:color w:val="auto"/>
          <w:kern w:val="0"/>
          <w:sz w:val="28"/>
          <w:szCs w:val="28"/>
        </w:rPr>
        <w:t>3.适用法律</w:t>
      </w:r>
      <w:bookmarkEnd w:id="13"/>
      <w:bookmarkEnd w:id="14"/>
      <w:bookmarkEnd w:id="15"/>
    </w:p>
    <w:p w14:paraId="0486921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3.1 本次采购及由此产生的合同受中华人民共和国有关的法律法规制约和保护。</w:t>
      </w:r>
    </w:p>
    <w:p w14:paraId="04388E7F">
      <w:pPr>
        <w:keepNext/>
        <w:adjustRightInd w:val="0"/>
        <w:snapToGrid w:val="0"/>
        <w:spacing w:line="460" w:lineRule="exact"/>
        <w:ind w:firstLine="560" w:firstLineChars="200"/>
        <w:rPr>
          <w:rFonts w:hint="eastAsia" w:ascii="宋体" w:hAnsi="宋体" w:cs="宋体"/>
          <w:color w:val="auto"/>
          <w:kern w:val="0"/>
          <w:sz w:val="28"/>
          <w:szCs w:val="28"/>
        </w:rPr>
      </w:pPr>
      <w:bookmarkStart w:id="16" w:name="_Toc513029207"/>
      <w:bookmarkStart w:id="17" w:name="_Toc462564067"/>
      <w:bookmarkStart w:id="18" w:name="_Toc20823279"/>
      <w:bookmarkStart w:id="19" w:name="_Toc16938523"/>
      <w:r>
        <w:rPr>
          <w:rFonts w:hint="eastAsia" w:ascii="宋体" w:hAnsi="宋体" w:cs="宋体"/>
          <w:color w:val="auto"/>
          <w:kern w:val="0"/>
          <w:sz w:val="28"/>
          <w:szCs w:val="28"/>
        </w:rPr>
        <w:t>4.磋商费用</w:t>
      </w:r>
      <w:bookmarkEnd w:id="16"/>
      <w:bookmarkEnd w:id="17"/>
      <w:bookmarkEnd w:id="18"/>
      <w:bookmarkEnd w:id="19"/>
    </w:p>
    <w:p w14:paraId="48FF8E1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 供应商应自行承担所有与参加磋商有关的费用，无论磋商过程中的做法和结果如何，江苏中润工程建设咨询有限公司（以下简称采购代理机构）在任何情况下均无义务和责任承担这些费用。</w:t>
      </w:r>
    </w:p>
    <w:p w14:paraId="2CC517C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4.2本项目资料费300元，在开标现场支付给代理机构，无论是否</w:t>
      </w:r>
      <w:r>
        <w:rPr>
          <w:rFonts w:hint="eastAsia" w:ascii="宋体" w:hAnsi="宋体" w:cs="宋体"/>
          <w:color w:val="auto"/>
          <w:sz w:val="28"/>
          <w:szCs w:val="28"/>
          <w:lang w:eastAsia="zh-CN"/>
        </w:rPr>
        <w:t>成交</w:t>
      </w:r>
      <w:r>
        <w:rPr>
          <w:rFonts w:hint="eastAsia" w:ascii="宋体" w:hAnsi="宋体" w:cs="宋体"/>
          <w:color w:val="auto"/>
          <w:sz w:val="28"/>
          <w:szCs w:val="28"/>
        </w:rPr>
        <w:t>，该费用不予退还。</w:t>
      </w:r>
    </w:p>
    <w:p w14:paraId="6F0C2427">
      <w:pPr>
        <w:keepNext/>
        <w:adjustRightInd w:val="0"/>
        <w:snapToGrid w:val="0"/>
        <w:spacing w:line="460" w:lineRule="exact"/>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en-US" w:eastAsia="zh-CN"/>
        </w:rPr>
        <w:t>4.2</w:t>
      </w:r>
      <w:r>
        <w:rPr>
          <w:rFonts w:hint="eastAsia" w:ascii="宋体" w:hAnsi="宋体" w:cs="宋体"/>
          <w:color w:val="auto"/>
          <w:sz w:val="28"/>
          <w:szCs w:val="28"/>
          <w:lang w:val="zh-CN"/>
        </w:rPr>
        <w:t>本项目代理费</w:t>
      </w:r>
      <w:r>
        <w:rPr>
          <w:rFonts w:hint="eastAsia" w:ascii="宋体" w:hAnsi="宋体" w:cs="宋体"/>
          <w:color w:val="auto"/>
          <w:sz w:val="28"/>
          <w:szCs w:val="28"/>
          <w:lang w:val="en-US" w:eastAsia="zh-CN"/>
        </w:rPr>
        <w:t>按照发改价格[2011]534号文标准的60%计收，不足1500元按1500元收取</w:t>
      </w:r>
      <w:r>
        <w:rPr>
          <w:rFonts w:hint="eastAsia" w:ascii="宋体" w:hAnsi="宋体" w:cs="宋体"/>
          <w:color w:val="auto"/>
          <w:sz w:val="28"/>
          <w:szCs w:val="28"/>
          <w:lang w:val="zh-CN"/>
        </w:rPr>
        <w:t>；供应商在报价时应综合考虑（不单列）。</w:t>
      </w:r>
    </w:p>
    <w:p w14:paraId="7FFC3760">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lang w:val="zh-CN"/>
        </w:rPr>
        <w:t>代理费定标后由成交候选人支付给代理机构。因成交人原因导致成交结果变更或取消成交资格等，代理费不予退还。</w:t>
      </w:r>
    </w:p>
    <w:p w14:paraId="285FA3DA">
      <w:pPr>
        <w:keepNext/>
        <w:adjustRightInd w:val="0"/>
        <w:snapToGrid w:val="0"/>
        <w:spacing w:line="460" w:lineRule="exact"/>
        <w:ind w:firstLine="560" w:firstLineChars="200"/>
        <w:rPr>
          <w:rFonts w:hint="eastAsia" w:ascii="宋体" w:hAnsi="宋体" w:cs="宋体"/>
          <w:b/>
          <w:bCs/>
          <w:color w:val="auto"/>
          <w:kern w:val="0"/>
          <w:sz w:val="28"/>
          <w:szCs w:val="28"/>
        </w:rPr>
      </w:pPr>
      <w:r>
        <w:rPr>
          <w:rFonts w:hint="eastAsia" w:ascii="宋体" w:hAnsi="宋体" w:cs="宋体"/>
          <w:color w:val="auto"/>
          <w:kern w:val="0"/>
          <w:sz w:val="28"/>
          <w:szCs w:val="28"/>
        </w:rPr>
        <w:t>5.磋商文件的约束力</w:t>
      </w:r>
    </w:p>
    <w:p w14:paraId="75731C7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5.1</w:t>
      </w:r>
      <w:r>
        <w:rPr>
          <w:rFonts w:hint="eastAsia" w:ascii="宋体" w:hAnsi="宋体" w:cs="宋体"/>
          <w:color w:val="auto"/>
          <w:sz w:val="28"/>
          <w:szCs w:val="28"/>
        </w:rPr>
        <w:t xml:space="preserve"> 供应商一旦参加本项目采购活动，即被认为接受了本磋商文件的规定和约束。</w:t>
      </w:r>
    </w:p>
    <w:p w14:paraId="44E55449">
      <w:pPr>
        <w:keepNext/>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6.磋商文件的解释</w:t>
      </w:r>
    </w:p>
    <w:p w14:paraId="20B0DDA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6.1</w:t>
      </w:r>
      <w:r>
        <w:rPr>
          <w:rFonts w:hint="eastAsia" w:ascii="宋体" w:hAnsi="宋体" w:cs="宋体"/>
          <w:color w:val="auto"/>
          <w:sz w:val="28"/>
          <w:szCs w:val="28"/>
        </w:rPr>
        <w:t>磋商文件需求部分（供应商资格要求、项目需求、商务技术评分标准）由采购人解释，其它部分由采购代理机构解释。</w:t>
      </w:r>
    </w:p>
    <w:p w14:paraId="299280FF">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20" w:name="_Toc20823281"/>
      <w:bookmarkStart w:id="21" w:name="_Toc120614215"/>
      <w:bookmarkStart w:id="22" w:name="_Toc513029209"/>
      <w:bookmarkStart w:id="23" w:name="_Toc16938525"/>
      <w:r>
        <w:rPr>
          <w:rFonts w:hint="eastAsia" w:ascii="宋体" w:hAnsi="宋体" w:cs="宋体"/>
          <w:b/>
          <w:bCs/>
          <w:color w:val="auto"/>
          <w:kern w:val="0"/>
          <w:sz w:val="28"/>
          <w:szCs w:val="28"/>
        </w:rPr>
        <w:t>二、磋商文件</w:t>
      </w:r>
      <w:bookmarkEnd w:id="20"/>
      <w:bookmarkEnd w:id="21"/>
      <w:bookmarkEnd w:id="22"/>
      <w:bookmarkEnd w:id="23"/>
    </w:p>
    <w:p w14:paraId="6E175910">
      <w:pPr>
        <w:keepNext/>
        <w:adjustRightInd w:val="0"/>
        <w:snapToGrid w:val="0"/>
        <w:spacing w:line="460" w:lineRule="exact"/>
        <w:ind w:firstLine="560" w:firstLineChars="200"/>
        <w:rPr>
          <w:rFonts w:hint="eastAsia" w:ascii="宋体" w:hAnsi="宋体" w:cs="宋体"/>
          <w:b/>
          <w:bCs/>
          <w:color w:val="auto"/>
          <w:kern w:val="0"/>
          <w:sz w:val="28"/>
          <w:szCs w:val="28"/>
        </w:rPr>
      </w:pPr>
      <w:bookmarkStart w:id="24" w:name="_Toc20823282"/>
      <w:bookmarkStart w:id="25" w:name="_Toc513029210"/>
      <w:bookmarkStart w:id="26" w:name="_Toc16938526"/>
      <w:r>
        <w:rPr>
          <w:rFonts w:hint="eastAsia" w:ascii="宋体" w:hAnsi="宋体" w:cs="宋体"/>
          <w:color w:val="auto"/>
          <w:kern w:val="0"/>
          <w:sz w:val="28"/>
          <w:szCs w:val="28"/>
        </w:rPr>
        <w:t>1.磋商文件构成</w:t>
      </w:r>
      <w:bookmarkEnd w:id="24"/>
      <w:bookmarkEnd w:id="25"/>
      <w:bookmarkEnd w:id="26"/>
    </w:p>
    <w:p w14:paraId="313F5AB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1.1</w:t>
      </w:r>
      <w:r>
        <w:rPr>
          <w:rFonts w:hint="eastAsia" w:ascii="宋体" w:hAnsi="宋体" w:cs="宋体"/>
          <w:color w:val="auto"/>
          <w:sz w:val="28"/>
          <w:szCs w:val="28"/>
        </w:rPr>
        <w:t xml:space="preserve"> 磋商文件由以下部分组成：</w:t>
      </w:r>
    </w:p>
    <w:p w14:paraId="20420EC0">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（1）磋商</w:t>
      </w:r>
      <w:r>
        <w:rPr>
          <w:rFonts w:hint="eastAsia" w:ascii="宋体" w:hAnsi="宋体" w:cs="宋体"/>
          <w:color w:val="auto"/>
          <w:sz w:val="28"/>
          <w:szCs w:val="28"/>
          <w:lang w:eastAsia="zh-CN"/>
        </w:rPr>
        <w:t>通告</w:t>
      </w:r>
    </w:p>
    <w:p w14:paraId="3DD023A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（2）磋商须知</w:t>
      </w:r>
    </w:p>
    <w:p w14:paraId="00599DAB">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（3）项目需求</w:t>
      </w:r>
    </w:p>
    <w:p w14:paraId="2178B7FF">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（4）评审方法和评审标准</w:t>
      </w:r>
    </w:p>
    <w:p w14:paraId="4C4ACCD5">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（5）响应文件组成</w:t>
      </w:r>
    </w:p>
    <w:p w14:paraId="668069A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（6）附件</w:t>
      </w:r>
    </w:p>
    <w:p w14:paraId="778F984F">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请仔细检查磋商文件是否齐全，如有缺漏请立即与采购代理机构联系解决。</w:t>
      </w:r>
    </w:p>
    <w:p w14:paraId="63402F4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1.2</w:t>
      </w:r>
      <w:r>
        <w:rPr>
          <w:rFonts w:hint="eastAsia" w:ascii="宋体" w:hAnsi="宋体" w:cs="宋体"/>
          <w:color w:val="auto"/>
          <w:sz w:val="28"/>
          <w:szCs w:val="28"/>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4D2D554A">
      <w:pPr>
        <w:keepNext/>
        <w:adjustRightInd w:val="0"/>
        <w:snapToGrid w:val="0"/>
        <w:spacing w:line="460" w:lineRule="exact"/>
        <w:ind w:firstLine="560" w:firstLineChars="200"/>
        <w:rPr>
          <w:rFonts w:hint="eastAsia" w:ascii="宋体" w:hAnsi="宋体" w:cs="宋体"/>
          <w:b/>
          <w:bCs/>
          <w:color w:val="auto"/>
          <w:kern w:val="0"/>
          <w:sz w:val="28"/>
          <w:szCs w:val="28"/>
        </w:rPr>
      </w:pPr>
      <w:bookmarkStart w:id="27" w:name="_Toc20823283"/>
      <w:bookmarkStart w:id="28" w:name="_Toc513029211"/>
      <w:bookmarkStart w:id="29" w:name="_Toc16938527"/>
      <w:bookmarkStart w:id="30" w:name="_Toc462564070"/>
      <w:r>
        <w:rPr>
          <w:rFonts w:hint="eastAsia" w:ascii="宋体" w:hAnsi="宋体" w:cs="宋体"/>
          <w:color w:val="auto"/>
          <w:kern w:val="0"/>
          <w:sz w:val="28"/>
          <w:szCs w:val="28"/>
        </w:rPr>
        <w:t>2.磋商文件的澄清</w:t>
      </w:r>
      <w:bookmarkEnd w:id="27"/>
      <w:bookmarkEnd w:id="28"/>
      <w:bookmarkEnd w:id="29"/>
      <w:bookmarkEnd w:id="30"/>
    </w:p>
    <w:p w14:paraId="3C5A3E68">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2.1</w:t>
      </w:r>
      <w:r>
        <w:rPr>
          <w:rFonts w:hint="eastAsia" w:ascii="宋体" w:hAnsi="宋体" w:cs="宋体"/>
          <w:color w:val="auto"/>
          <w:sz w:val="28"/>
          <w:szCs w:val="28"/>
        </w:rPr>
        <w:t xml:space="preserve"> 任何要求对磋商文件进行澄清的供应商，应在提交首次响应文件截止时间五日前按磋商</w:t>
      </w:r>
      <w:r>
        <w:rPr>
          <w:rFonts w:hint="eastAsia" w:ascii="宋体" w:hAnsi="宋体" w:cs="宋体"/>
          <w:color w:val="auto"/>
          <w:sz w:val="28"/>
          <w:szCs w:val="28"/>
          <w:lang w:eastAsia="zh-CN"/>
        </w:rPr>
        <w:t>通告</w:t>
      </w:r>
      <w:r>
        <w:rPr>
          <w:rFonts w:hint="eastAsia" w:ascii="宋体" w:hAnsi="宋体" w:cs="宋体"/>
          <w:color w:val="auto"/>
          <w:sz w:val="28"/>
          <w:szCs w:val="28"/>
        </w:rPr>
        <w:t>中的通讯地址，以书面形式通知采购人。采购人有权对发出的磋商文件进行必要的澄清或修改。</w:t>
      </w:r>
    </w:p>
    <w:p w14:paraId="7DCE85C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2.2采购人视情组织答疑会</w:t>
      </w:r>
    </w:p>
    <w:p w14:paraId="2FE6304F">
      <w:pPr>
        <w:keepNext/>
        <w:adjustRightInd w:val="0"/>
        <w:snapToGrid w:val="0"/>
        <w:spacing w:line="460" w:lineRule="exact"/>
        <w:ind w:firstLine="560" w:firstLineChars="200"/>
        <w:rPr>
          <w:rFonts w:hint="eastAsia" w:ascii="宋体" w:hAnsi="宋体" w:cs="宋体"/>
          <w:b/>
          <w:bCs/>
          <w:color w:val="auto"/>
          <w:kern w:val="0"/>
          <w:sz w:val="28"/>
          <w:szCs w:val="28"/>
        </w:rPr>
      </w:pPr>
      <w:bookmarkStart w:id="31" w:name="_Toc20823284"/>
      <w:bookmarkStart w:id="32" w:name="_Toc16938528"/>
      <w:bookmarkStart w:id="33" w:name="_Toc513029212"/>
      <w:bookmarkStart w:id="34" w:name="_Toc462564071"/>
      <w:r>
        <w:rPr>
          <w:rFonts w:hint="eastAsia" w:ascii="宋体" w:hAnsi="宋体" w:cs="宋体"/>
          <w:color w:val="auto"/>
          <w:kern w:val="0"/>
          <w:sz w:val="28"/>
          <w:szCs w:val="28"/>
        </w:rPr>
        <w:t>3.磋商文件的修改</w:t>
      </w:r>
      <w:bookmarkEnd w:id="31"/>
      <w:bookmarkEnd w:id="32"/>
      <w:bookmarkEnd w:id="33"/>
      <w:bookmarkEnd w:id="34"/>
    </w:p>
    <w:p w14:paraId="66F0324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3.1</w:t>
      </w:r>
      <w:r>
        <w:rPr>
          <w:rFonts w:hint="eastAsia" w:ascii="宋体" w:hAnsi="宋体" w:cs="宋体"/>
          <w:color w:val="auto"/>
          <w:sz w:val="28"/>
          <w:szCs w:val="28"/>
        </w:rPr>
        <w:t xml:space="preserve"> 在响应文件提交截止时间前，采购代理机构可以对磋商文件进行修改。</w:t>
      </w:r>
    </w:p>
    <w:p w14:paraId="1CE53C3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 xml:space="preserve">3.2 </w:t>
      </w:r>
      <w:r>
        <w:rPr>
          <w:rFonts w:hint="eastAsia" w:ascii="宋体" w:hAnsi="宋体" w:cs="宋体"/>
          <w:color w:val="auto"/>
          <w:sz w:val="28"/>
          <w:szCs w:val="28"/>
        </w:rPr>
        <w:t>采购代理机构有权按照法定的要求推迟响应文件提交截止日期和磋商日期。</w:t>
      </w:r>
    </w:p>
    <w:p w14:paraId="3BC1066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 xml:space="preserve">3.3 </w:t>
      </w:r>
      <w:r>
        <w:rPr>
          <w:rFonts w:hint="eastAsia" w:ascii="宋体" w:hAnsi="宋体" w:cs="宋体"/>
          <w:color w:val="auto"/>
          <w:sz w:val="28"/>
          <w:szCs w:val="28"/>
        </w:rPr>
        <w:t>磋商文件的修改将在</w:t>
      </w:r>
      <w:r>
        <w:rPr>
          <w:rFonts w:hint="eastAsia" w:ascii="宋体" w:hAnsi="宋体" w:cs="宋体"/>
          <w:color w:val="auto"/>
          <w:sz w:val="28"/>
          <w:szCs w:val="28"/>
          <w:lang w:eastAsia="zh-CN"/>
        </w:rPr>
        <w:t>江苏省南通卫生高等职业技术学校网站或南通市卫生健康委员会网站</w:t>
      </w:r>
      <w:r>
        <w:rPr>
          <w:rFonts w:hint="eastAsia" w:ascii="宋体" w:hAnsi="宋体" w:cs="宋体"/>
          <w:color w:val="auto"/>
          <w:sz w:val="28"/>
          <w:szCs w:val="28"/>
        </w:rPr>
        <w:t>公布，补充文件将作为磋商文件的组成部分，并对供应商具有约束力。</w:t>
      </w:r>
    </w:p>
    <w:p w14:paraId="27B0988F">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35" w:name="_Toc462564072"/>
      <w:bookmarkStart w:id="36" w:name="_Toc20823285"/>
      <w:bookmarkStart w:id="37" w:name="_Toc16938529"/>
      <w:bookmarkStart w:id="38" w:name="_Toc120614216"/>
      <w:bookmarkStart w:id="39" w:name="_Toc513029213"/>
      <w:r>
        <w:rPr>
          <w:rFonts w:hint="eastAsia" w:ascii="宋体" w:hAnsi="宋体" w:cs="宋体"/>
          <w:b/>
          <w:bCs/>
          <w:color w:val="auto"/>
          <w:kern w:val="0"/>
          <w:sz w:val="28"/>
          <w:szCs w:val="28"/>
        </w:rPr>
        <w:t>三、响应文件的编制</w:t>
      </w:r>
      <w:bookmarkEnd w:id="35"/>
      <w:bookmarkEnd w:id="36"/>
      <w:bookmarkEnd w:id="37"/>
      <w:bookmarkEnd w:id="38"/>
      <w:bookmarkEnd w:id="39"/>
    </w:p>
    <w:p w14:paraId="3F230204">
      <w:pPr>
        <w:keepNext/>
        <w:adjustRightInd w:val="0"/>
        <w:snapToGrid w:val="0"/>
        <w:spacing w:line="460" w:lineRule="exact"/>
        <w:ind w:firstLine="560" w:firstLineChars="200"/>
        <w:rPr>
          <w:rFonts w:hint="eastAsia" w:ascii="宋体" w:hAnsi="宋体" w:cs="宋体"/>
          <w:bCs/>
          <w:color w:val="auto"/>
          <w:kern w:val="0"/>
          <w:sz w:val="28"/>
          <w:szCs w:val="28"/>
        </w:rPr>
      </w:pPr>
      <w:bookmarkStart w:id="40" w:name="_Toc462564073"/>
      <w:bookmarkStart w:id="41" w:name="_Toc513029214"/>
      <w:bookmarkStart w:id="42" w:name="_Toc20823286"/>
      <w:bookmarkStart w:id="43" w:name="_Toc16938530"/>
      <w:r>
        <w:rPr>
          <w:rFonts w:hint="eastAsia" w:ascii="宋体" w:hAnsi="宋体" w:cs="宋体"/>
          <w:color w:val="auto"/>
          <w:kern w:val="0"/>
          <w:sz w:val="28"/>
          <w:szCs w:val="28"/>
        </w:rPr>
        <w:t>1.响应文件的语言及度量衡单位</w:t>
      </w:r>
      <w:bookmarkEnd w:id="40"/>
      <w:bookmarkEnd w:id="41"/>
      <w:bookmarkEnd w:id="42"/>
      <w:bookmarkEnd w:id="43"/>
    </w:p>
    <w:p w14:paraId="4BF476A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1.1</w:t>
      </w:r>
      <w:r>
        <w:rPr>
          <w:rFonts w:hint="eastAsia" w:ascii="宋体" w:hAnsi="宋体" w:cs="宋体"/>
          <w:color w:val="auto"/>
          <w:sz w:val="28"/>
          <w:szCs w:val="28"/>
        </w:rPr>
        <w:t>供应商提交的响应文件以及供应商与采购代理机构及采购人就有关磋商的所有来往通知、函件和文件均应使用</w:t>
      </w:r>
      <w:r>
        <w:rPr>
          <w:rFonts w:hint="eastAsia" w:ascii="宋体" w:hAnsi="宋体" w:cs="宋体"/>
          <w:bCs/>
          <w:color w:val="auto"/>
          <w:sz w:val="28"/>
          <w:szCs w:val="28"/>
        </w:rPr>
        <w:t>简体中文</w:t>
      </w:r>
      <w:r>
        <w:rPr>
          <w:rFonts w:hint="eastAsia" w:ascii="宋体" w:hAnsi="宋体" w:cs="宋体"/>
          <w:color w:val="auto"/>
          <w:sz w:val="28"/>
          <w:szCs w:val="28"/>
        </w:rPr>
        <w:t>。</w:t>
      </w:r>
    </w:p>
    <w:p w14:paraId="4AF1A4C0">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1.2</w:t>
      </w:r>
      <w:r>
        <w:rPr>
          <w:rFonts w:hint="eastAsia" w:ascii="宋体" w:hAnsi="宋体" w:cs="宋体"/>
          <w:color w:val="auto"/>
          <w:sz w:val="28"/>
          <w:szCs w:val="28"/>
        </w:rPr>
        <w:t xml:space="preserve"> 除技术性能另有规定外，响应文件所使用的度量衡单位，均须采用国家法定计量单位。</w:t>
      </w:r>
    </w:p>
    <w:p w14:paraId="5387FDB8">
      <w:pPr>
        <w:keepNext/>
        <w:adjustRightInd w:val="0"/>
        <w:snapToGrid w:val="0"/>
        <w:spacing w:line="460" w:lineRule="exact"/>
        <w:ind w:firstLine="560" w:firstLineChars="200"/>
        <w:rPr>
          <w:rFonts w:hint="eastAsia" w:ascii="宋体" w:hAnsi="宋体" w:cs="宋体"/>
          <w:b/>
          <w:bCs/>
          <w:color w:val="auto"/>
          <w:kern w:val="0"/>
          <w:sz w:val="28"/>
          <w:szCs w:val="28"/>
        </w:rPr>
      </w:pPr>
      <w:bookmarkStart w:id="44" w:name="_Toc20823287"/>
      <w:bookmarkStart w:id="45" w:name="_Toc462564074"/>
      <w:bookmarkStart w:id="46" w:name="_Toc16938531"/>
      <w:bookmarkStart w:id="47" w:name="_Toc513029215"/>
      <w:r>
        <w:rPr>
          <w:rFonts w:hint="eastAsia" w:ascii="宋体" w:hAnsi="宋体" w:cs="宋体"/>
          <w:color w:val="auto"/>
          <w:kern w:val="0"/>
          <w:sz w:val="28"/>
          <w:szCs w:val="28"/>
        </w:rPr>
        <w:t>2.响应文件构成</w:t>
      </w:r>
      <w:bookmarkEnd w:id="44"/>
      <w:bookmarkEnd w:id="45"/>
      <w:bookmarkEnd w:id="46"/>
      <w:bookmarkEnd w:id="47"/>
    </w:p>
    <w:p w14:paraId="1A21BEC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2.1</w:t>
      </w:r>
      <w:r>
        <w:rPr>
          <w:rFonts w:hint="eastAsia" w:ascii="宋体" w:hAnsi="宋体" w:cs="宋体"/>
          <w:color w:val="auto"/>
          <w:sz w:val="28"/>
          <w:szCs w:val="28"/>
        </w:rPr>
        <w:t xml:space="preserve"> 供应商编写的响应文件应包括资格审查文件、商务技术文件、价格文件。供应商按“第五部分 响应文件组成”要求编写响应文件。</w:t>
      </w:r>
    </w:p>
    <w:p w14:paraId="493AA52B">
      <w:pPr>
        <w:keepNext/>
        <w:adjustRightInd w:val="0"/>
        <w:snapToGrid w:val="0"/>
        <w:spacing w:line="460" w:lineRule="exact"/>
        <w:ind w:firstLine="560" w:firstLineChars="200"/>
        <w:rPr>
          <w:rFonts w:hint="eastAsia" w:ascii="宋体" w:hAnsi="宋体" w:cs="宋体"/>
          <w:b/>
          <w:bCs/>
          <w:color w:val="auto"/>
          <w:kern w:val="0"/>
          <w:sz w:val="28"/>
          <w:szCs w:val="28"/>
        </w:rPr>
      </w:pPr>
      <w:bookmarkStart w:id="48" w:name="_Hlt26670360"/>
      <w:bookmarkEnd w:id="48"/>
      <w:bookmarkStart w:id="49" w:name="_Hlt26954838"/>
      <w:bookmarkEnd w:id="49"/>
      <w:bookmarkStart w:id="50" w:name="_Hlt26668975"/>
      <w:bookmarkEnd w:id="50"/>
      <w:bookmarkStart w:id="51" w:name="_Toc14577360"/>
      <w:bookmarkStart w:id="52" w:name="_Toc49090511"/>
      <w:r>
        <w:rPr>
          <w:rFonts w:hint="eastAsia" w:ascii="宋体" w:hAnsi="宋体" w:cs="宋体"/>
          <w:color w:val="auto"/>
          <w:kern w:val="0"/>
          <w:sz w:val="28"/>
          <w:szCs w:val="28"/>
        </w:rPr>
        <w:t>3.</w:t>
      </w:r>
      <w:bookmarkEnd w:id="51"/>
      <w:bookmarkEnd w:id="52"/>
      <w:r>
        <w:rPr>
          <w:rFonts w:hint="eastAsia" w:ascii="宋体" w:hAnsi="宋体" w:cs="宋体"/>
          <w:color w:val="auto"/>
          <w:kern w:val="0"/>
          <w:sz w:val="28"/>
          <w:szCs w:val="28"/>
        </w:rPr>
        <w:t>磋商响应有效期</w:t>
      </w:r>
    </w:p>
    <w:p w14:paraId="6EB37ACE">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3.1磋商响应有效期为采购代理机构规定的响应文件</w:t>
      </w:r>
      <w:r>
        <w:rPr>
          <w:rFonts w:hint="eastAsia" w:ascii="宋体" w:hAnsi="宋体" w:cs="宋体"/>
          <w:color w:val="auto"/>
          <w:sz w:val="28"/>
          <w:szCs w:val="28"/>
        </w:rPr>
        <w:t>提交</w:t>
      </w:r>
      <w:r>
        <w:rPr>
          <w:rFonts w:hint="eastAsia" w:ascii="宋体" w:hAnsi="宋体" w:cs="宋体"/>
          <w:bCs/>
          <w:color w:val="auto"/>
          <w:sz w:val="28"/>
          <w:szCs w:val="28"/>
        </w:rPr>
        <w:t>截止时间后</w:t>
      </w:r>
      <w:r>
        <w:rPr>
          <w:rFonts w:hint="eastAsia" w:ascii="宋体" w:hAnsi="宋体" w:cs="宋体"/>
          <w:b/>
          <w:color w:val="auto"/>
          <w:sz w:val="28"/>
          <w:szCs w:val="28"/>
          <w:u w:val="single"/>
        </w:rPr>
        <w:t>六十（60）天</w:t>
      </w:r>
      <w:r>
        <w:rPr>
          <w:rFonts w:hint="eastAsia" w:ascii="宋体" w:hAnsi="宋体" w:cs="宋体"/>
          <w:bCs/>
          <w:color w:val="auto"/>
          <w:sz w:val="28"/>
          <w:szCs w:val="28"/>
        </w:rPr>
        <w:t>。磋商响应有效期比规定短的将被视为非实质性响应而予以拒绝。</w:t>
      </w:r>
    </w:p>
    <w:p w14:paraId="7136447D">
      <w:pPr>
        <w:keepNext/>
        <w:adjustRightInd w:val="0"/>
        <w:snapToGrid w:val="0"/>
        <w:spacing w:line="460" w:lineRule="exact"/>
        <w:ind w:firstLine="560" w:firstLineChars="200"/>
        <w:rPr>
          <w:rFonts w:hint="eastAsia" w:ascii="宋体" w:hAnsi="宋体" w:cs="宋体"/>
          <w:b/>
          <w:bCs/>
          <w:color w:val="auto"/>
          <w:kern w:val="0"/>
          <w:sz w:val="28"/>
          <w:szCs w:val="28"/>
        </w:rPr>
      </w:pPr>
      <w:r>
        <w:rPr>
          <w:rFonts w:hint="eastAsia" w:ascii="宋体" w:hAnsi="宋体" w:cs="宋体"/>
          <w:color w:val="auto"/>
          <w:kern w:val="0"/>
          <w:sz w:val="28"/>
          <w:szCs w:val="28"/>
        </w:rPr>
        <w:t>4. 磋商响应有效期的延长</w:t>
      </w:r>
    </w:p>
    <w:p w14:paraId="020B1BA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hint="eastAsia" w:ascii="宋体" w:hAnsi="宋体" w:cs="宋体"/>
          <w:color w:val="auto"/>
          <w:sz w:val="28"/>
          <w:szCs w:val="28"/>
        </w:rPr>
        <w:t>受磋商响应有效期约束的所有权利与义务均延长至新的有效期</w:t>
      </w:r>
      <w:r>
        <w:rPr>
          <w:rFonts w:hint="eastAsia" w:ascii="宋体" w:hAnsi="宋体" w:cs="宋体"/>
          <w:bCs/>
          <w:color w:val="auto"/>
          <w:sz w:val="28"/>
          <w:szCs w:val="28"/>
        </w:rPr>
        <w:t>。</w:t>
      </w:r>
    </w:p>
    <w:p w14:paraId="6BA16B89">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53" w:name="_Hlt26954852"/>
      <w:bookmarkEnd w:id="53"/>
      <w:bookmarkStart w:id="54" w:name="_Hlt26954739"/>
      <w:bookmarkEnd w:id="54"/>
      <w:bookmarkStart w:id="55" w:name="_Toc120614217"/>
      <w:bookmarkStart w:id="56" w:name="_Toc513029224"/>
      <w:bookmarkStart w:id="57" w:name="_Toc16938540"/>
      <w:bookmarkStart w:id="58" w:name="_Toc20823296"/>
      <w:r>
        <w:rPr>
          <w:rFonts w:hint="eastAsia" w:ascii="宋体" w:hAnsi="宋体" w:cs="宋体"/>
          <w:b/>
          <w:bCs/>
          <w:color w:val="auto"/>
          <w:kern w:val="0"/>
          <w:sz w:val="28"/>
          <w:szCs w:val="28"/>
        </w:rPr>
        <w:t>四、响应文件的提交</w:t>
      </w:r>
      <w:bookmarkEnd w:id="55"/>
      <w:bookmarkEnd w:id="56"/>
      <w:bookmarkEnd w:id="57"/>
      <w:bookmarkEnd w:id="58"/>
    </w:p>
    <w:p w14:paraId="430EAD4F">
      <w:pPr>
        <w:adjustRightInd w:val="0"/>
        <w:snapToGrid w:val="0"/>
        <w:spacing w:line="460" w:lineRule="exact"/>
        <w:ind w:firstLine="560" w:firstLineChars="200"/>
        <w:rPr>
          <w:rFonts w:hint="eastAsia" w:ascii="宋体" w:hAnsi="宋体" w:cs="宋体"/>
          <w:color w:val="auto"/>
          <w:kern w:val="0"/>
          <w:sz w:val="28"/>
          <w:szCs w:val="28"/>
        </w:rPr>
      </w:pPr>
      <w:bookmarkStart w:id="59" w:name="_Toc20823298"/>
      <w:bookmarkStart w:id="60" w:name="_Toc513029226"/>
      <w:bookmarkStart w:id="61" w:name="_Toc16938542"/>
      <w:r>
        <w:rPr>
          <w:rFonts w:hint="eastAsia" w:ascii="宋体" w:hAnsi="宋体" w:cs="宋体"/>
          <w:color w:val="auto"/>
          <w:kern w:val="0"/>
          <w:sz w:val="28"/>
          <w:szCs w:val="28"/>
        </w:rPr>
        <w:t>1.响应文件的提交</w:t>
      </w:r>
    </w:p>
    <w:p w14:paraId="3638E331">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1.1纸质响应文件三部分内容【资格审查文件、商务技术文件、价格文件】须分别单独密封，并牢固装订成册，不得相互混淆，文件自编目录并连续标注页码，不得将内容拆开。价格文件不得出现于其他磋商文件中。</w:t>
      </w:r>
    </w:p>
    <w:p w14:paraId="661075BB">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1.2纸质响应文件每一部分内容均须提供“正本一份、副本一份”纸质响应文件，并将每一部分内容的正本、副本及图纸类等（如需提供图纸等其它资料的话）合并密封，分别装在三个密封袋或密封箱内（如有A3大小的图纸类，可单独密封），密封完好以不泄露投标文件内容为主要判断依据。</w:t>
      </w:r>
    </w:p>
    <w:p w14:paraId="14499E78">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1.3纸质响应文件须采用A4纸（图纸等除外），正、副本须打印并由法定代表人或授权人签字并加盖单位印章。文件内容中不得行间插字、涂改、增删，如修补错漏处，须由响应文件签署人签字并加盖公章。</w:t>
      </w:r>
    </w:p>
    <w:p w14:paraId="546588FB">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1.4电子响应文件一份，电子响应文件的内容为“资格审查文件、商务技术文件、价格文件”的打印盖章或电子签章后的响应文件的扫描件（资格审查文件、商务技术文件、价格文件需分别逐页连续扫描为三个独立的PDF文件），可以采取U盘或电子光盘方式单独密封提交。</w:t>
      </w:r>
    </w:p>
    <w:p w14:paraId="319221A6">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1.5递交时间：供应商须在规定的响应文件接收截止时间前送达指定地点。供应商提交磋商文件，即视为已响应参加磋商活动。</w:t>
      </w:r>
    </w:p>
    <w:p w14:paraId="198904F8">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kern w:val="0"/>
          <w:sz w:val="28"/>
          <w:szCs w:val="28"/>
        </w:rPr>
        <w:t>友情提醒：代理机构将拒绝接收未按照磋商文件要求密封的响应文件，拒绝接收在响应文件接收截止时间后递交的响应文件。</w:t>
      </w:r>
    </w:p>
    <w:p w14:paraId="68D3A60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2.响应文件截止日期</w:t>
      </w:r>
      <w:bookmarkEnd w:id="59"/>
      <w:bookmarkEnd w:id="60"/>
      <w:bookmarkEnd w:id="61"/>
    </w:p>
    <w:p w14:paraId="3DF60124">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2.1 供应商提交响应文件的时间不得迟于磋商</w:t>
      </w:r>
      <w:r>
        <w:rPr>
          <w:rFonts w:hint="eastAsia" w:ascii="宋体" w:hAnsi="宋体" w:cs="宋体"/>
          <w:bCs/>
          <w:color w:val="auto"/>
          <w:sz w:val="28"/>
          <w:szCs w:val="28"/>
          <w:lang w:eastAsia="zh-CN"/>
        </w:rPr>
        <w:t>通告</w:t>
      </w:r>
      <w:r>
        <w:rPr>
          <w:rFonts w:hint="eastAsia" w:ascii="宋体" w:hAnsi="宋体" w:cs="宋体"/>
          <w:bCs/>
          <w:color w:val="auto"/>
          <w:sz w:val="28"/>
          <w:szCs w:val="28"/>
        </w:rPr>
        <w:t>中规定的响应文件提交截止时间。</w:t>
      </w:r>
    </w:p>
    <w:p w14:paraId="6C3B2816">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供应商应充分考虑到交通路况、停车等风险因素，如因供应商自身原因造成的磋商响应文件提交不成功由供应商自行承担全部责任。</w:t>
      </w:r>
    </w:p>
    <w:p w14:paraId="08D01787">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rPr>
        <w:t>2.2</w:t>
      </w:r>
      <w:r>
        <w:rPr>
          <w:rFonts w:hint="eastAsia" w:ascii="宋体" w:hAnsi="宋体" w:cs="宋体"/>
          <w:bCs/>
          <w:color w:val="auto"/>
          <w:sz w:val="28"/>
          <w:szCs w:val="28"/>
        </w:rPr>
        <w:t xml:space="preserve"> 采购代理机构可以按照规定，通过修改响应文件酌情延长响应文件提交截止日期，在此情况下，供应商的所有权利和义务以及供应商受制的截止日期均应以延长后新的截止日期为准。</w:t>
      </w:r>
    </w:p>
    <w:p w14:paraId="3BC8C282">
      <w:pPr>
        <w:keepNext/>
        <w:adjustRightInd w:val="0"/>
        <w:snapToGrid w:val="0"/>
        <w:spacing w:line="460" w:lineRule="exact"/>
        <w:ind w:firstLine="560" w:firstLineChars="200"/>
        <w:rPr>
          <w:rFonts w:hint="eastAsia" w:ascii="宋体" w:hAnsi="宋体" w:cs="宋体"/>
          <w:b/>
          <w:bCs/>
          <w:color w:val="auto"/>
          <w:kern w:val="0"/>
          <w:sz w:val="28"/>
          <w:szCs w:val="28"/>
        </w:rPr>
      </w:pPr>
      <w:bookmarkStart w:id="62" w:name="_Toc20823299"/>
      <w:bookmarkStart w:id="63" w:name="_Toc16938543"/>
      <w:bookmarkStart w:id="64" w:name="_Toc513029227"/>
      <w:r>
        <w:rPr>
          <w:rFonts w:hint="eastAsia" w:ascii="宋体" w:hAnsi="宋体" w:cs="宋体"/>
          <w:color w:val="auto"/>
          <w:kern w:val="0"/>
          <w:sz w:val="28"/>
          <w:szCs w:val="28"/>
        </w:rPr>
        <w:t>3.响应文件</w:t>
      </w:r>
      <w:bookmarkEnd w:id="62"/>
      <w:bookmarkEnd w:id="63"/>
      <w:bookmarkEnd w:id="64"/>
      <w:r>
        <w:rPr>
          <w:rFonts w:hint="eastAsia" w:ascii="宋体" w:hAnsi="宋体" w:cs="宋体"/>
          <w:color w:val="auto"/>
          <w:kern w:val="0"/>
          <w:sz w:val="28"/>
          <w:szCs w:val="28"/>
        </w:rPr>
        <w:t>的拒收</w:t>
      </w:r>
    </w:p>
    <w:p w14:paraId="4CAF4EE2">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3.1 采购代理机构拒绝接收在其规定的响应文件提交截止时间后提交的任何响应文件。</w:t>
      </w:r>
    </w:p>
    <w:p w14:paraId="6EB4C146">
      <w:pPr>
        <w:keepNext/>
        <w:adjustRightInd w:val="0"/>
        <w:snapToGrid w:val="0"/>
        <w:spacing w:line="460" w:lineRule="exact"/>
        <w:ind w:firstLine="560" w:firstLineChars="200"/>
        <w:rPr>
          <w:rFonts w:hint="eastAsia" w:ascii="宋体" w:hAnsi="宋体" w:cs="宋体"/>
          <w:b/>
          <w:bCs/>
          <w:color w:val="auto"/>
          <w:kern w:val="0"/>
          <w:sz w:val="28"/>
          <w:szCs w:val="28"/>
        </w:rPr>
      </w:pPr>
      <w:bookmarkStart w:id="65" w:name="_Toc20823300"/>
      <w:bookmarkStart w:id="66" w:name="_Toc513029228"/>
      <w:bookmarkStart w:id="67" w:name="_Toc16938544"/>
      <w:r>
        <w:rPr>
          <w:rFonts w:hint="eastAsia" w:ascii="宋体" w:hAnsi="宋体" w:cs="宋体"/>
          <w:color w:val="auto"/>
          <w:kern w:val="0"/>
          <w:sz w:val="28"/>
          <w:szCs w:val="28"/>
        </w:rPr>
        <w:t>4. 响应文件的撤回和修改</w:t>
      </w:r>
      <w:bookmarkEnd w:id="65"/>
      <w:bookmarkEnd w:id="66"/>
      <w:bookmarkEnd w:id="67"/>
    </w:p>
    <w:p w14:paraId="172EDCC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 响应文件的撤回</w:t>
      </w:r>
    </w:p>
    <w:p w14:paraId="0B2ACF18">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4.1.1 响应文件的撤回</w:t>
      </w:r>
    </w:p>
    <w:p w14:paraId="0CB32E4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供应商可在响应文件提交截止时间前，书面撤回其磋商响应文件。</w:t>
      </w:r>
    </w:p>
    <w:p w14:paraId="3A34D0C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4.1.2 供应商撤回磋商响应文件，则认为其不再参与本项目磋商活动。</w:t>
      </w:r>
    </w:p>
    <w:p w14:paraId="3F527D3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4.2 响应文件的修改</w:t>
      </w:r>
    </w:p>
    <w:p w14:paraId="1D6C939F">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在响应文件提交截止时间之后，供应商不得再对其提交的响应文件进行修改。</w:t>
      </w:r>
    </w:p>
    <w:p w14:paraId="3FD0E80A">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68" w:name="_Toc513029229"/>
      <w:bookmarkStart w:id="69" w:name="_Toc120614218"/>
      <w:bookmarkStart w:id="70" w:name="_Toc20823301"/>
      <w:bookmarkStart w:id="71" w:name="_Toc16938545"/>
      <w:r>
        <w:rPr>
          <w:rFonts w:hint="eastAsia" w:ascii="宋体" w:hAnsi="宋体" w:cs="宋体"/>
          <w:b/>
          <w:bCs/>
          <w:color w:val="auto"/>
          <w:kern w:val="0"/>
          <w:sz w:val="28"/>
          <w:szCs w:val="28"/>
        </w:rPr>
        <w:t>五</w:t>
      </w:r>
      <w:bookmarkEnd w:id="68"/>
      <w:bookmarkEnd w:id="69"/>
      <w:bookmarkEnd w:id="70"/>
      <w:bookmarkEnd w:id="71"/>
      <w:bookmarkStart w:id="72" w:name="_Toc20823302"/>
      <w:bookmarkStart w:id="73" w:name="_Toc513029230"/>
      <w:bookmarkStart w:id="74" w:name="_Toc16938546"/>
      <w:r>
        <w:rPr>
          <w:rFonts w:hint="eastAsia" w:ascii="宋体" w:hAnsi="宋体" w:cs="宋体"/>
          <w:b/>
          <w:bCs/>
          <w:color w:val="auto"/>
          <w:kern w:val="0"/>
          <w:sz w:val="28"/>
          <w:szCs w:val="28"/>
        </w:rPr>
        <w:t>、磋商与评审</w:t>
      </w:r>
    </w:p>
    <w:p w14:paraId="112B884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1.磋商仪式</w:t>
      </w:r>
    </w:p>
    <w:p w14:paraId="3FACE26A">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1.1采购代理机构将在磋商</w:t>
      </w:r>
      <w:r>
        <w:rPr>
          <w:rFonts w:hint="eastAsia" w:ascii="宋体" w:hAnsi="宋体" w:cs="宋体"/>
          <w:bCs/>
          <w:color w:val="auto"/>
          <w:sz w:val="28"/>
          <w:szCs w:val="28"/>
          <w:lang w:eastAsia="zh-CN"/>
        </w:rPr>
        <w:t>通告</w:t>
      </w:r>
      <w:r>
        <w:rPr>
          <w:rFonts w:hint="eastAsia" w:ascii="宋体" w:hAnsi="宋体" w:cs="宋体"/>
          <w:bCs/>
          <w:color w:val="auto"/>
          <w:sz w:val="28"/>
          <w:szCs w:val="28"/>
        </w:rPr>
        <w:t>中规定的时间和地点组织磋商开始仪式。供应商应当在磋商</w:t>
      </w:r>
      <w:r>
        <w:rPr>
          <w:rFonts w:hint="eastAsia" w:ascii="宋体" w:hAnsi="宋体" w:cs="宋体"/>
          <w:bCs/>
          <w:color w:val="auto"/>
          <w:sz w:val="28"/>
          <w:szCs w:val="28"/>
          <w:lang w:eastAsia="zh-CN"/>
        </w:rPr>
        <w:t>通告</w:t>
      </w:r>
      <w:r>
        <w:rPr>
          <w:rFonts w:hint="eastAsia" w:ascii="宋体" w:hAnsi="宋体" w:cs="宋体"/>
          <w:bCs/>
          <w:color w:val="auto"/>
          <w:sz w:val="28"/>
          <w:szCs w:val="28"/>
        </w:rPr>
        <w:t>中规定的时间和地点参加磋商活动。</w:t>
      </w:r>
    </w:p>
    <w:p w14:paraId="7A8739C8">
      <w:pPr>
        <w:adjustRightInd w:val="0"/>
        <w:snapToGrid w:val="0"/>
        <w:spacing w:line="460" w:lineRule="exact"/>
        <w:ind w:firstLine="560" w:firstLineChars="200"/>
        <w:rPr>
          <w:rFonts w:hint="eastAsia" w:ascii="宋体" w:hAnsi="宋体" w:cs="宋体"/>
          <w:b/>
          <w:color w:val="auto"/>
          <w:sz w:val="28"/>
          <w:szCs w:val="28"/>
        </w:rPr>
      </w:pPr>
      <w:r>
        <w:rPr>
          <w:rFonts w:hint="eastAsia" w:ascii="宋体" w:hAnsi="宋体" w:cs="宋体"/>
          <w:bCs/>
          <w:color w:val="auto"/>
          <w:sz w:val="28"/>
          <w:szCs w:val="28"/>
        </w:rPr>
        <w:t>1.2 磋商活动的文件密封性检查工作</w:t>
      </w:r>
      <w:r>
        <w:rPr>
          <w:rFonts w:hint="eastAsia" w:ascii="宋体" w:hAnsi="宋体" w:cs="宋体"/>
          <w:color w:val="auto"/>
          <w:sz w:val="28"/>
          <w:szCs w:val="28"/>
        </w:rPr>
        <w:t>由采购代理机构组织。</w:t>
      </w:r>
    </w:p>
    <w:p w14:paraId="1F1EB13B">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1.3供应商在磋商过程中涉及到的磋商文件密封性检查、磋商结果确认等工作，按照采购代理机构指引进行。</w:t>
      </w:r>
    </w:p>
    <w:p w14:paraId="477D458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2.磋商小组</w:t>
      </w:r>
    </w:p>
    <w:p w14:paraId="0EB42DC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2.1磋商开始仪式结束后，采购代理机构将立即组织磋商小组进行评审。</w:t>
      </w:r>
    </w:p>
    <w:p w14:paraId="3354BAC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磋商小组由采购人代表和评审专家共3人以上单数组成，其中评审专家人数不得少于磋商小组成员总数的2/3。采购人不得以评审专家身份参加本部门或本单位采购项目的评审。采购代理机构人员不得参加本机构代理的采购项目的评审。</w:t>
      </w:r>
    </w:p>
    <w:p w14:paraId="6416308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2.3超过公开招标限额标准的项目，磋商小组应当由5人以上单数组成。</w:t>
      </w:r>
    </w:p>
    <w:p w14:paraId="292AA18F">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2.4采用磋商的采购项目，评审专家应当从政府采购评审专家库内相关专业的专家名单中随机抽取，或者从代理机构的政府采购专家资源库中随机抽取。市场竞争不充分的科研项目、需要扶持的科技成果转化项目，以及情况特殊、通过随机方式难以确定合适的评审专家的项目，经主管预算单位同意，可以自行选定评审专家。技术复杂、专业性强的磋商采购项目，评审专家中应当包含1名法律专家。</w:t>
      </w:r>
    </w:p>
    <w:p w14:paraId="58C86AF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2.5磋商小组独立工作，负责评审所有响应文件并确定成交侯选人。</w:t>
      </w:r>
    </w:p>
    <w:p w14:paraId="448CD14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 磋商评审过程的保密与公正</w:t>
      </w:r>
    </w:p>
    <w:p w14:paraId="1B76135F">
      <w:pPr>
        <w:tabs>
          <w:tab w:val="left" w:pos="900"/>
        </w:tabs>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3.1磋商小组、采购人和采购代理机构工作人员、相关监督人员等与评审工作有关的人员，对评审情况以及在评审过程中获悉的国家秘密、商业秘密负有保密责任。</w:t>
      </w:r>
    </w:p>
    <w:p w14:paraId="524DCD8E">
      <w:pPr>
        <w:tabs>
          <w:tab w:val="left" w:pos="900"/>
        </w:tabs>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3.2在磋商评审过程中，磋商供应商不得以任何行为影响磋商评审过程，否则其响应文件将被作为无效响应文件。</w:t>
      </w:r>
    </w:p>
    <w:p w14:paraId="33004EE0">
      <w:pPr>
        <w:tabs>
          <w:tab w:val="left" w:pos="900"/>
        </w:tabs>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6068D68">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rPr>
        <w:t>3.4</w:t>
      </w:r>
      <w:r>
        <w:rPr>
          <w:rFonts w:hint="eastAsia" w:ascii="宋体" w:hAnsi="宋体" w:cs="宋体"/>
          <w:bCs/>
          <w:color w:val="auto"/>
          <w:sz w:val="28"/>
          <w:szCs w:val="28"/>
        </w:rPr>
        <w:t>评审开始后，直至向成交供应商授予合同时止，凡是与审查、澄清、评价和比较响应的有关资料以及授标建议等，采购人、磋商小组、采购代理机构均不得向供应商或与评标无关的其他人员透露。</w:t>
      </w:r>
    </w:p>
    <w:p w14:paraId="451F054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3.5在评审期间，采购代理机构将设专门人员与供应商联系。</w:t>
      </w:r>
    </w:p>
    <w:p w14:paraId="7194B44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3.6采购代理机构和评审小组不向未成交的供应商解释未成交原因，也不公布评审过程中的相关细节。</w:t>
      </w:r>
    </w:p>
    <w:p w14:paraId="555BEFBC">
      <w:pPr>
        <w:tabs>
          <w:tab w:val="left" w:pos="900"/>
        </w:tabs>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4.评审过程的澄清</w:t>
      </w:r>
    </w:p>
    <w:p w14:paraId="4E32E13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4.1评审期间，为有助于对响应文件的审查、评价和比较，磋商小组有权要求响应人对其响应文件进行澄清，但并非对每个供应商都作澄清要求。</w:t>
      </w:r>
    </w:p>
    <w:p w14:paraId="784FA23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4.2接到磋商小组澄清要求的供应商应按磋商小组规定的时间和格式做出澄清，澄清的内容作为响应文件的补充部分，但实质性的内容不得做任何更改。</w:t>
      </w:r>
    </w:p>
    <w:p w14:paraId="402DA31B">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rPr>
        <w:t>4.3 接到磋商小组澄清要求的供应商如未按规定做出澄清，其风</w:t>
      </w:r>
      <w:r>
        <w:rPr>
          <w:rFonts w:hint="eastAsia" w:ascii="宋体" w:hAnsi="宋体" w:cs="宋体"/>
          <w:bCs/>
          <w:color w:val="auto"/>
          <w:sz w:val="28"/>
          <w:szCs w:val="28"/>
        </w:rPr>
        <w:t>险由供应商自行承担。</w:t>
      </w:r>
    </w:p>
    <w:p w14:paraId="5B7ACC5E">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5.对响应文件的初审</w:t>
      </w:r>
    </w:p>
    <w:p w14:paraId="608F5854">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5.1响应文件初审分为资格性审查和符合性审查。</w:t>
      </w:r>
    </w:p>
    <w:p w14:paraId="55147AE2">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5.1.1资格性检查：依据法律法规和磋商文件的规定，由采购人对响应文件中的资格审查文件进行审查。</w:t>
      </w:r>
    </w:p>
    <w:p w14:paraId="2F86805E">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5.1.2符合性审查：依据磋商文件的规定，由磋商小组从响应文件的有效性、完整性和对磋商文件的响应程度进行审查，以确定是否对磋商文件的实质性要求作出响应。</w:t>
      </w:r>
    </w:p>
    <w:p w14:paraId="621F0162">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5.1.3未通过资格审查或符合性审查的供应商人，采购代理机构将告知未通过资格审查或符合性审查的原因，并记录存档。</w:t>
      </w:r>
    </w:p>
    <w:p w14:paraId="79F805B6">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14:paraId="01683CDC">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39E92080">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5.3如果响应文件实质上没有响应磋商文件的要求，磋商小组将予以拒绝，供应商不得通过修改或撤销不合要求的偏离或保留而使其响应文件成为实质性响应的文件。</w:t>
      </w:r>
    </w:p>
    <w:p w14:paraId="2A9BB07E">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5.4磋商小组将对确定为实质性响应的文件进行进一步审核，看其是否有计算上或累加上的算术错误，修正错误的原则如下：</w:t>
      </w:r>
    </w:p>
    <w:p w14:paraId="009B9623">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（1）响应文件中</w:t>
      </w:r>
      <w:r>
        <w:rPr>
          <w:rFonts w:hint="eastAsia" w:ascii="宋体" w:hAnsi="宋体" w:cs="宋体"/>
          <w:color w:val="auto"/>
          <w:kern w:val="0"/>
          <w:sz w:val="28"/>
          <w:szCs w:val="28"/>
        </w:rPr>
        <w:t>报价总表</w:t>
      </w:r>
      <w:r>
        <w:rPr>
          <w:rFonts w:hint="eastAsia" w:ascii="宋体" w:hAnsi="宋体" w:cs="宋体"/>
          <w:bCs/>
          <w:color w:val="auto"/>
          <w:sz w:val="28"/>
          <w:szCs w:val="28"/>
        </w:rPr>
        <w:t>内容与响应文件中相应内容不一致的，以</w:t>
      </w:r>
      <w:r>
        <w:rPr>
          <w:rFonts w:hint="eastAsia" w:ascii="宋体" w:hAnsi="宋体" w:cs="宋体"/>
          <w:color w:val="auto"/>
          <w:kern w:val="0"/>
          <w:sz w:val="28"/>
          <w:szCs w:val="28"/>
        </w:rPr>
        <w:t>报价总表</w:t>
      </w:r>
      <w:r>
        <w:rPr>
          <w:rFonts w:hint="eastAsia" w:ascii="宋体" w:hAnsi="宋体" w:cs="宋体"/>
          <w:bCs/>
          <w:color w:val="auto"/>
          <w:sz w:val="28"/>
          <w:szCs w:val="28"/>
        </w:rPr>
        <w:t>为准。</w:t>
      </w:r>
    </w:p>
    <w:p w14:paraId="59B35451">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（2）大写金额和小写金额不一致的，以大写金额为准。</w:t>
      </w:r>
    </w:p>
    <w:p w14:paraId="0B27AF5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（3）单价金额小数点或者百分比有明显错位的，以</w:t>
      </w:r>
      <w:r>
        <w:rPr>
          <w:rFonts w:hint="eastAsia" w:ascii="宋体" w:hAnsi="宋体" w:cs="宋体"/>
          <w:color w:val="auto"/>
          <w:kern w:val="0"/>
          <w:sz w:val="28"/>
          <w:szCs w:val="28"/>
        </w:rPr>
        <w:t>报价总表</w:t>
      </w:r>
      <w:r>
        <w:rPr>
          <w:rFonts w:hint="eastAsia" w:ascii="宋体" w:hAnsi="宋体" w:cs="宋体"/>
          <w:bCs/>
          <w:color w:val="auto"/>
          <w:sz w:val="28"/>
          <w:szCs w:val="28"/>
        </w:rPr>
        <w:t>的总价为准，并修改单价。</w:t>
      </w:r>
    </w:p>
    <w:p w14:paraId="4E68FC1A">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（4）总价金额与按单价汇总金额不一致的，以单价金额计算结果为准。</w:t>
      </w:r>
    </w:p>
    <w:p w14:paraId="202D3B82">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同时出现两种以上错误的，按照前款规定的顺序修正。</w:t>
      </w:r>
    </w:p>
    <w:p w14:paraId="1EECE87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rPr>
        <w:t>5</w:t>
      </w:r>
      <w:r>
        <w:rPr>
          <w:rFonts w:hint="eastAsia" w:ascii="宋体" w:hAnsi="宋体" w:cs="宋体"/>
          <w:bCs/>
          <w:color w:val="auto"/>
          <w:sz w:val="28"/>
          <w:szCs w:val="28"/>
        </w:rPr>
        <w:t>.5磋商小组将按上述修正错误的方法调整响应文件中的报价，并告知供应商，调整后的价格应对供应商具有约束力。如果供应商不接受修正后的价格，则其磋商活动将被拒绝。</w:t>
      </w:r>
    </w:p>
    <w:p w14:paraId="5E393545">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5.6磋商小组将允许修正响应文件中不构成重大偏离的、微小的、非正规的、不一致的或不规则的地方，但这些修改不能影响任何供应商相应的名次排列。</w:t>
      </w:r>
    </w:p>
    <w:p w14:paraId="6BB71EF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5.7</w:t>
      </w:r>
      <w:r>
        <w:rPr>
          <w:rFonts w:hint="eastAsia" w:ascii="宋体" w:hAnsi="宋体" w:cs="宋体"/>
          <w:color w:val="auto"/>
          <w:sz w:val="28"/>
          <w:szCs w:val="28"/>
        </w:rPr>
        <w:t>供应商在评审全过程中应保持通讯畅通，并安排专人与采购代理机构及磋商小组联系（适用于不见面磋商模式）。</w:t>
      </w:r>
    </w:p>
    <w:p w14:paraId="7B825D88">
      <w:pPr>
        <w:tabs>
          <w:tab w:val="left" w:pos="6555"/>
          <w:tab w:val="right" w:pos="8306"/>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 被认定为未实质性响应磋商文件的响应文件的情形。</w:t>
      </w:r>
    </w:p>
    <w:p w14:paraId="27581F3C">
      <w:pPr>
        <w:tabs>
          <w:tab w:val="left" w:pos="6555"/>
          <w:tab w:val="right" w:pos="8306"/>
        </w:tabs>
        <w:adjustRightInd w:val="0"/>
        <w:snapToGrid w:val="0"/>
        <w:spacing w:line="460" w:lineRule="exact"/>
        <w:ind w:firstLine="560" w:firstLineChars="200"/>
        <w:rPr>
          <w:rFonts w:hint="eastAsia" w:ascii="宋体" w:hAnsi="宋体" w:cs="宋体"/>
          <w:b/>
          <w:color w:val="auto"/>
          <w:sz w:val="28"/>
          <w:szCs w:val="28"/>
        </w:rPr>
      </w:pPr>
      <w:r>
        <w:rPr>
          <w:rFonts w:hint="eastAsia" w:ascii="宋体" w:hAnsi="宋体" w:cs="宋体"/>
          <w:bCs/>
          <w:color w:val="auto"/>
          <w:sz w:val="28"/>
          <w:szCs w:val="28"/>
        </w:rPr>
        <w:t>6.1出现下列情形之一的，作无效响应处理。</w:t>
      </w:r>
      <w:r>
        <w:rPr>
          <w:rFonts w:hint="eastAsia" w:ascii="宋体" w:hAnsi="宋体" w:cs="宋体"/>
          <w:bCs/>
          <w:color w:val="auto"/>
          <w:sz w:val="28"/>
          <w:szCs w:val="28"/>
        </w:rPr>
        <w:tab/>
      </w:r>
      <w:r>
        <w:rPr>
          <w:rFonts w:hint="eastAsia" w:ascii="宋体" w:hAnsi="宋体" w:cs="宋体"/>
          <w:b/>
          <w:color w:val="auto"/>
          <w:sz w:val="28"/>
          <w:szCs w:val="28"/>
        </w:rPr>
        <w:tab/>
      </w:r>
    </w:p>
    <w:p w14:paraId="21B3154E">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6.1.1供应商在规定的时间内未成功提交磋商响应文件的。</w:t>
      </w:r>
    </w:p>
    <w:p w14:paraId="16B8FCD8">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6.1.2未完整提交响应文件的。</w:t>
      </w:r>
    </w:p>
    <w:p w14:paraId="244DDD75">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6.1.3同一供应商提交两个（含两个）以上不同的响应报价的。</w:t>
      </w:r>
    </w:p>
    <w:p w14:paraId="14F06F7D">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 xml:space="preserve">6.1.4不具备磋商文件中规定的资格要求的。 </w:t>
      </w:r>
    </w:p>
    <w:p w14:paraId="171E7205">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 xml:space="preserve">6.1.5响应报价超过了采购预算或最高限价的。 </w:t>
      </w:r>
    </w:p>
    <w:p w14:paraId="26581291">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6.1.6未通过符合性检查的。</w:t>
      </w:r>
    </w:p>
    <w:p w14:paraId="48E528B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6.1.7不符合法律、法规和磋商文件中规定的其他实质性要求的。</w:t>
      </w:r>
    </w:p>
    <w:p w14:paraId="551B7205">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6.1.8供应商被 “信用中国”网站（www.creditchina.gov.cn）列入失信被执行人或重大税收违法案件当事人名单或政府采购严重失信行为记录名单，或查询“信用中国”网站后发现供应商存在其他不符合规定条件的信用记录。</w:t>
      </w:r>
    </w:p>
    <w:p w14:paraId="66F75A61">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6.1.9 响应文件含有采购人不能接受的附加条件的。</w:t>
      </w:r>
    </w:p>
    <w:p w14:paraId="1133CD8B">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07BA26C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05A8DBD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6.1.12响应文件未按照采购文件要求盖章、密封的。</w:t>
      </w:r>
    </w:p>
    <w:p w14:paraId="23E62363">
      <w:pPr>
        <w:adjustRightInd w:val="0"/>
        <w:snapToGrid w:val="0"/>
        <w:spacing w:line="460" w:lineRule="exact"/>
        <w:ind w:firstLine="562" w:firstLineChars="200"/>
        <w:rPr>
          <w:rFonts w:hint="eastAsia" w:ascii="宋体" w:hAnsi="宋体" w:cs="宋体"/>
          <w:bCs/>
          <w:color w:val="auto"/>
          <w:sz w:val="28"/>
          <w:szCs w:val="28"/>
        </w:rPr>
      </w:pPr>
      <w:r>
        <w:rPr>
          <w:rFonts w:hint="eastAsia" w:ascii="宋体" w:hAnsi="宋体" w:cs="宋体"/>
          <w:b/>
          <w:color w:val="auto"/>
          <w:sz w:val="28"/>
          <w:szCs w:val="28"/>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14:paraId="3DB9ED9C">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6.1.13</w:t>
      </w:r>
      <w:r>
        <w:rPr>
          <w:rFonts w:hint="eastAsia" w:ascii="宋体" w:hAnsi="宋体" w:cs="宋体"/>
          <w:bCs/>
          <w:color w:val="auto"/>
          <w:sz w:val="28"/>
          <w:szCs w:val="28"/>
          <w:lang w:eastAsia="zh-CN"/>
        </w:rPr>
        <w:t>供应商</w:t>
      </w:r>
      <w:r>
        <w:rPr>
          <w:rFonts w:hint="eastAsia" w:ascii="宋体" w:hAnsi="宋体" w:cs="宋体"/>
          <w:bCs/>
          <w:color w:val="auto"/>
          <w:sz w:val="28"/>
          <w:szCs w:val="28"/>
        </w:rPr>
        <w:t>的商务技术部分得分相差悬殊，评标委员会认为得分畸低者没有实质性响应的。</w:t>
      </w:r>
    </w:p>
    <w:p w14:paraId="163FCE04">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6.1.14其他法律、法规及本磋商文件规定的属无效响应的情形。</w:t>
      </w:r>
    </w:p>
    <w:p w14:paraId="5416DD0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6.2出现下列情形之一的，磋商失败。</w:t>
      </w:r>
    </w:p>
    <w:p w14:paraId="04266044">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6.2.1符合条件的供应商或者对磋商文件作实质响应的供应商不足3家的（市场竞争不充分的科研项目，以及需要扶持的科技成果转化项目可以是2家）；</w:t>
      </w:r>
    </w:p>
    <w:p w14:paraId="21A841EE">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6.2.2出现影响采购公正的违法违规行为的；</w:t>
      </w:r>
    </w:p>
    <w:p w14:paraId="6904F26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6.2.3因重大变故，采购任务取消的。</w:t>
      </w:r>
    </w:p>
    <w:p w14:paraId="2FB3CA0B">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6.2.4磋商小组认定磋商文件存在歧义、重大缺陷导致评审工作无法进行。</w:t>
      </w:r>
    </w:p>
    <w:p w14:paraId="4862F7E1">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6.2.5 因系统故障原因造成磋商无法继续进行的</w:t>
      </w:r>
      <w:r>
        <w:rPr>
          <w:rFonts w:hint="eastAsia" w:ascii="宋体" w:hAnsi="宋体" w:cs="宋体"/>
          <w:color w:val="auto"/>
          <w:sz w:val="28"/>
          <w:szCs w:val="28"/>
        </w:rPr>
        <w:t>（适用于不见面磋商模式）</w:t>
      </w:r>
      <w:r>
        <w:rPr>
          <w:rFonts w:hint="eastAsia" w:ascii="宋体" w:hAnsi="宋体" w:cs="宋体"/>
          <w:bCs/>
          <w:color w:val="auto"/>
          <w:sz w:val="28"/>
          <w:szCs w:val="28"/>
        </w:rPr>
        <w:t>。</w:t>
      </w:r>
    </w:p>
    <w:p w14:paraId="431F05A8">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6.3 响应</w:t>
      </w:r>
      <w:r>
        <w:rPr>
          <w:rFonts w:hint="eastAsia" w:ascii="宋体" w:hAnsi="宋体" w:cs="宋体"/>
          <w:color w:val="auto"/>
          <w:sz w:val="28"/>
          <w:szCs w:val="28"/>
        </w:rPr>
        <w:t>文件提交</w:t>
      </w:r>
      <w:r>
        <w:rPr>
          <w:rFonts w:hint="eastAsia" w:ascii="宋体" w:hAnsi="宋体" w:cs="宋体"/>
          <w:bCs/>
          <w:color w:val="auto"/>
          <w:sz w:val="28"/>
          <w:szCs w:val="28"/>
        </w:rPr>
        <w:t>截止时间结束后参加磋商的供应商不足三家的处理：</w:t>
      </w:r>
    </w:p>
    <w:p w14:paraId="1A2D99F8">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6.3.1如出现响应</w:t>
      </w:r>
      <w:r>
        <w:rPr>
          <w:rFonts w:hint="eastAsia" w:ascii="宋体" w:hAnsi="宋体" w:cs="宋体"/>
          <w:color w:val="auto"/>
          <w:sz w:val="28"/>
          <w:szCs w:val="28"/>
        </w:rPr>
        <w:t>文件提交</w:t>
      </w:r>
      <w:r>
        <w:rPr>
          <w:rFonts w:hint="eastAsia" w:ascii="宋体" w:hAnsi="宋体" w:cs="宋体"/>
          <w:bCs/>
          <w:color w:val="auto"/>
          <w:sz w:val="28"/>
          <w:szCs w:val="28"/>
        </w:rPr>
        <w:t>截止时间结束后参加磋商的供应商或者在评审期间对磋商文件做出实质响应的供应商不足三家情况，除采购任务取消情形外，按照以下方式处理：</w:t>
      </w:r>
    </w:p>
    <w:p w14:paraId="54246208">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1.采购文件存在不合理条款或者</w:t>
      </w:r>
      <w:r>
        <w:rPr>
          <w:rFonts w:hint="eastAsia" w:ascii="宋体" w:hAnsi="宋体" w:cs="宋体"/>
          <w:bCs/>
          <w:color w:val="auto"/>
          <w:sz w:val="28"/>
          <w:szCs w:val="28"/>
          <w:lang w:eastAsia="zh-CN"/>
        </w:rPr>
        <w:t>采购</w:t>
      </w:r>
      <w:r>
        <w:rPr>
          <w:rFonts w:hint="eastAsia" w:ascii="宋体" w:hAnsi="宋体" w:cs="宋体"/>
          <w:bCs/>
          <w:color w:val="auto"/>
          <w:sz w:val="28"/>
          <w:szCs w:val="28"/>
        </w:rPr>
        <w:t>程序不符合规定的，采购人、采购代理机构改正后依法重新</w:t>
      </w:r>
      <w:r>
        <w:rPr>
          <w:rFonts w:hint="eastAsia" w:ascii="宋体" w:hAnsi="宋体" w:cs="宋体"/>
          <w:bCs/>
          <w:color w:val="auto"/>
          <w:sz w:val="28"/>
          <w:szCs w:val="28"/>
          <w:lang w:eastAsia="zh-CN"/>
        </w:rPr>
        <w:t>磋商</w:t>
      </w:r>
      <w:r>
        <w:rPr>
          <w:rFonts w:hint="eastAsia" w:ascii="宋体" w:hAnsi="宋体" w:cs="宋体"/>
          <w:bCs/>
          <w:color w:val="auto"/>
          <w:sz w:val="28"/>
          <w:szCs w:val="28"/>
        </w:rPr>
        <w:t>采购；</w:t>
      </w:r>
    </w:p>
    <w:p w14:paraId="307D400F">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2采购文件没有不合理条款、采购程序符合规定，需要采用其他采购人式采购的，采购人应当依法报采购监管部门批准。</w:t>
      </w:r>
    </w:p>
    <w:bookmarkEnd w:id="72"/>
    <w:bookmarkEnd w:id="73"/>
    <w:bookmarkEnd w:id="74"/>
    <w:p w14:paraId="2D525011">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75" w:name="_Toc120614219"/>
      <w:r>
        <w:rPr>
          <w:rFonts w:hint="eastAsia" w:ascii="宋体" w:hAnsi="宋体" w:cs="宋体"/>
          <w:b/>
          <w:bCs/>
          <w:color w:val="auto"/>
          <w:kern w:val="0"/>
          <w:sz w:val="28"/>
          <w:szCs w:val="28"/>
        </w:rPr>
        <w:t>六</w:t>
      </w:r>
      <w:bookmarkEnd w:id="75"/>
      <w:r>
        <w:rPr>
          <w:rFonts w:hint="eastAsia" w:ascii="宋体" w:hAnsi="宋体" w:cs="宋体"/>
          <w:b/>
          <w:bCs/>
          <w:color w:val="auto"/>
          <w:kern w:val="0"/>
          <w:sz w:val="28"/>
          <w:szCs w:val="28"/>
        </w:rPr>
        <w:t>、成交</w:t>
      </w:r>
    </w:p>
    <w:p w14:paraId="4FC4B844">
      <w:pPr>
        <w:keepNext/>
        <w:adjustRightInd w:val="0"/>
        <w:snapToGrid w:val="0"/>
        <w:spacing w:line="460" w:lineRule="exact"/>
        <w:ind w:firstLine="560" w:firstLineChars="200"/>
        <w:rPr>
          <w:rFonts w:hint="eastAsia" w:ascii="宋体" w:hAnsi="宋体" w:cs="宋体"/>
          <w:b/>
          <w:color w:val="auto"/>
          <w:kern w:val="0"/>
          <w:sz w:val="28"/>
          <w:szCs w:val="28"/>
        </w:rPr>
      </w:pPr>
      <w:bookmarkStart w:id="76" w:name="_Toc16938554"/>
      <w:bookmarkStart w:id="77" w:name="_Toc20823310"/>
      <w:r>
        <w:rPr>
          <w:rFonts w:hint="eastAsia" w:ascii="宋体" w:hAnsi="宋体" w:cs="宋体"/>
          <w:color w:val="auto"/>
          <w:kern w:val="0"/>
          <w:sz w:val="28"/>
          <w:szCs w:val="28"/>
        </w:rPr>
        <w:t>1.确定</w:t>
      </w:r>
      <w:bookmarkEnd w:id="76"/>
      <w:bookmarkEnd w:id="77"/>
      <w:r>
        <w:rPr>
          <w:rFonts w:hint="eastAsia" w:ascii="宋体" w:hAnsi="宋体" w:cs="宋体"/>
          <w:color w:val="auto"/>
          <w:kern w:val="0"/>
          <w:sz w:val="28"/>
          <w:szCs w:val="28"/>
        </w:rPr>
        <w:t>成交单位</w:t>
      </w:r>
    </w:p>
    <w:p w14:paraId="1E715926">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 xml:space="preserve">1.1成交候选供应商的选取原则和数量见磋商文件第四部分规定。 </w:t>
      </w:r>
    </w:p>
    <w:p w14:paraId="55875A6F">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1.2 采购人授权磋商小组在成交候选供应商中直接确定成交供应商。</w:t>
      </w:r>
    </w:p>
    <w:p w14:paraId="3329696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 xml:space="preserve">1.3 </w:t>
      </w:r>
      <w:r>
        <w:rPr>
          <w:rFonts w:hint="eastAsia" w:ascii="宋体" w:hAnsi="宋体" w:cs="宋体"/>
          <w:color w:val="auto"/>
          <w:sz w:val="28"/>
          <w:szCs w:val="28"/>
        </w:rPr>
        <w:t>采购代理机构将在“</w:t>
      </w:r>
      <w:r>
        <w:rPr>
          <w:rFonts w:hint="eastAsia" w:ascii="宋体" w:hAnsi="宋体" w:cs="宋体"/>
          <w:color w:val="auto"/>
          <w:sz w:val="28"/>
          <w:szCs w:val="28"/>
          <w:lang w:eastAsia="zh-CN"/>
        </w:rPr>
        <w:t>江苏省南通卫生高等职业技术学校网站或南通市卫生健康委员会网站</w:t>
      </w:r>
      <w:r>
        <w:rPr>
          <w:rFonts w:hint="eastAsia" w:ascii="宋体" w:hAnsi="宋体" w:cs="宋体"/>
          <w:color w:val="auto"/>
          <w:sz w:val="28"/>
          <w:szCs w:val="28"/>
        </w:rPr>
        <w:t>”发布成交结果</w:t>
      </w:r>
      <w:r>
        <w:rPr>
          <w:rFonts w:hint="eastAsia" w:ascii="宋体" w:hAnsi="宋体" w:cs="宋体"/>
          <w:color w:val="auto"/>
          <w:sz w:val="28"/>
          <w:szCs w:val="28"/>
          <w:lang w:eastAsia="zh-CN"/>
        </w:rPr>
        <w:t>通告</w:t>
      </w:r>
      <w:r>
        <w:rPr>
          <w:rFonts w:hint="eastAsia" w:ascii="宋体" w:hAnsi="宋体" w:cs="宋体"/>
          <w:color w:val="auto"/>
          <w:sz w:val="28"/>
          <w:szCs w:val="28"/>
        </w:rPr>
        <w:t>，</w:t>
      </w:r>
      <w:r>
        <w:rPr>
          <w:rFonts w:hint="eastAsia" w:ascii="宋体" w:hAnsi="宋体" w:cs="宋体"/>
          <w:color w:val="auto"/>
          <w:sz w:val="28"/>
          <w:szCs w:val="28"/>
          <w:lang w:eastAsia="zh-CN"/>
        </w:rPr>
        <w:t>通告</w:t>
      </w:r>
      <w:r>
        <w:rPr>
          <w:rFonts w:hint="eastAsia" w:ascii="宋体" w:hAnsi="宋体" w:cs="宋体"/>
          <w:color w:val="auto"/>
          <w:sz w:val="28"/>
          <w:szCs w:val="28"/>
        </w:rPr>
        <w:t>期限为1个工作日。</w:t>
      </w:r>
    </w:p>
    <w:p w14:paraId="2B3E959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1.4若有充分证据证明，成交供应商出现下列情况之一的，一经查实，将被取消成交资格：</w:t>
      </w:r>
    </w:p>
    <w:p w14:paraId="73BBBDD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1.4.1提供虚假材料谋取成交的。</w:t>
      </w:r>
    </w:p>
    <w:p w14:paraId="0C27DFC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1.4.2向采购人、采购代理机构行贿或者评审专家提供其他不正当利益的。</w:t>
      </w:r>
    </w:p>
    <w:p w14:paraId="611D21A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1.4.3恶意竞争，最终总报价明显低于其自身合理成本且又无法提供证明的。</w:t>
      </w:r>
    </w:p>
    <w:p w14:paraId="72BC5C28">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1.4.4属于本文件规定的无效条件，但在评审过程中又未被磋商小组发现的。</w:t>
      </w:r>
    </w:p>
    <w:p w14:paraId="620B49B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1.4.5与采购人或者其他供应商恶意串通的。</w:t>
      </w:r>
    </w:p>
    <w:p w14:paraId="1C1C0C9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1.4.6采取不正当手段诋毁、排挤其他供应商的。</w:t>
      </w:r>
    </w:p>
    <w:p w14:paraId="5E4AB352">
      <w:pPr>
        <w:adjustRightInd w:val="0"/>
        <w:snapToGrid w:val="0"/>
        <w:spacing w:line="460" w:lineRule="exact"/>
        <w:ind w:firstLine="560" w:firstLineChars="200"/>
        <w:rPr>
          <w:rFonts w:hint="eastAsia" w:ascii="宋体" w:hAnsi="宋体" w:cs="宋体"/>
          <w:color w:val="auto"/>
          <w:sz w:val="28"/>
          <w:szCs w:val="28"/>
        </w:rPr>
      </w:pPr>
      <w:bookmarkStart w:id="78" w:name="_Toc200451960"/>
      <w:r>
        <w:rPr>
          <w:rFonts w:hint="eastAsia" w:ascii="宋体" w:hAnsi="宋体" w:cs="宋体"/>
          <w:color w:val="auto"/>
          <w:sz w:val="28"/>
          <w:szCs w:val="28"/>
        </w:rPr>
        <w:t>1.5.</w:t>
      </w:r>
      <w:r>
        <w:rPr>
          <w:rFonts w:hint="eastAsia" w:ascii="宋体" w:hAnsi="宋体" w:cs="宋体"/>
          <w:color w:val="auto"/>
          <w:kern w:val="0"/>
          <w:sz w:val="28"/>
          <w:szCs w:val="28"/>
        </w:rPr>
        <w:t>有下列情形之一的，视为供应商串通参与磋商，响应无效：</w:t>
      </w:r>
    </w:p>
    <w:p w14:paraId="268BA9A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1.5.1不同供应商的响应文件由同一单位或者个人编制；</w:t>
      </w:r>
    </w:p>
    <w:p w14:paraId="7A86F41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1.5.2不同供应商委托同一单位或者个人办理磋商事宜；</w:t>
      </w:r>
    </w:p>
    <w:p w14:paraId="483E0AC0">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1.5.3不同供应商的响应文件载明的项目管理成员或者联系人员为同一人；</w:t>
      </w:r>
    </w:p>
    <w:p w14:paraId="29AD8D3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1.5.4不同供应商的响应文件异常一致或者响应报价呈规律性差异。</w:t>
      </w:r>
    </w:p>
    <w:p w14:paraId="22C2DC68">
      <w:pPr>
        <w:keepNext/>
        <w:adjustRightInd w:val="0"/>
        <w:snapToGrid w:val="0"/>
        <w:spacing w:line="460" w:lineRule="exact"/>
        <w:ind w:firstLine="560" w:firstLineChars="200"/>
        <w:rPr>
          <w:rFonts w:hint="eastAsia" w:ascii="宋体" w:hAnsi="宋体" w:cs="宋体"/>
          <w:b/>
          <w:color w:val="auto"/>
          <w:kern w:val="0"/>
          <w:sz w:val="28"/>
          <w:szCs w:val="28"/>
        </w:rPr>
      </w:pPr>
      <w:r>
        <w:rPr>
          <w:rFonts w:hint="eastAsia" w:ascii="宋体" w:hAnsi="宋体" w:cs="宋体"/>
          <w:color w:val="auto"/>
          <w:kern w:val="0"/>
          <w:sz w:val="28"/>
          <w:szCs w:val="28"/>
        </w:rPr>
        <w:t>2.质疑处理</w:t>
      </w:r>
      <w:bookmarkEnd w:id="78"/>
    </w:p>
    <w:p w14:paraId="6AC0886F">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2.1 提出质疑的供应商应当是参与所质疑项目采购活动的供应商。潜在供应商依法获取其可质疑的磋商文件的，可以对磋商文件提出质疑。</w:t>
      </w:r>
    </w:p>
    <w:p w14:paraId="1C5FEC9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供应商认为磋商文件、采购过程和采购结果使自己的权益受到损害的，可以在知道或应知其权益受到损害之日起七个工作日内，以书面形式向采购代理机构或采购人提出质疑。上述应知其权益受到损害之日，是指：</w:t>
      </w:r>
    </w:p>
    <w:p w14:paraId="7CF4EE5F">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sz w:val="28"/>
          <w:szCs w:val="28"/>
        </w:rPr>
        <w:t>2.2.1</w:t>
      </w:r>
      <w:r>
        <w:rPr>
          <w:rFonts w:hint="eastAsia" w:ascii="宋体" w:hAnsi="宋体" w:cs="宋体"/>
          <w:color w:val="auto"/>
          <w:kern w:val="0"/>
          <w:sz w:val="28"/>
          <w:szCs w:val="28"/>
        </w:rPr>
        <w:t>对可以质疑的磋商文件提出质疑的，为收到磋商文件之日或者磋商文件</w:t>
      </w:r>
      <w:r>
        <w:rPr>
          <w:rFonts w:hint="eastAsia" w:ascii="宋体" w:hAnsi="宋体" w:cs="宋体"/>
          <w:color w:val="auto"/>
          <w:kern w:val="0"/>
          <w:sz w:val="28"/>
          <w:szCs w:val="28"/>
          <w:lang w:eastAsia="zh-CN"/>
        </w:rPr>
        <w:t>通告</w:t>
      </w:r>
      <w:r>
        <w:rPr>
          <w:rFonts w:hint="eastAsia" w:ascii="宋体" w:hAnsi="宋体" w:cs="宋体"/>
          <w:color w:val="auto"/>
          <w:kern w:val="0"/>
          <w:sz w:val="28"/>
          <w:szCs w:val="28"/>
        </w:rPr>
        <w:t>期限届满之日；</w:t>
      </w:r>
    </w:p>
    <w:p w14:paraId="5DFFE149">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sz w:val="28"/>
          <w:szCs w:val="28"/>
        </w:rPr>
        <w:t>2.2.2</w:t>
      </w:r>
      <w:r>
        <w:rPr>
          <w:rFonts w:hint="eastAsia" w:ascii="宋体" w:hAnsi="宋体" w:cs="宋体"/>
          <w:color w:val="auto"/>
          <w:kern w:val="0"/>
          <w:sz w:val="28"/>
          <w:szCs w:val="28"/>
        </w:rPr>
        <w:t>对采购过程提出质疑的，为各采购程序环节结束之日；</w:t>
      </w:r>
    </w:p>
    <w:p w14:paraId="01E17A23">
      <w:pPr>
        <w:adjustRightInd w:val="0"/>
        <w:snapToGrid w:val="0"/>
        <w:spacing w:line="4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其中：对评审过程中涉及到的密封检查、身份核对、澄清等和程序性事项，供应商如有异议的，必须当时提出。否则，均视为供应商无异议。无论是否成交，供应商事后不得再就前述事项提出任何异议或质疑投诉。</w:t>
      </w:r>
    </w:p>
    <w:p w14:paraId="27BBB6CC">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sz w:val="28"/>
          <w:szCs w:val="28"/>
        </w:rPr>
        <w:t>2.2.3</w:t>
      </w:r>
      <w:r>
        <w:rPr>
          <w:rFonts w:hint="eastAsia" w:ascii="宋体" w:hAnsi="宋体" w:cs="宋体"/>
          <w:color w:val="auto"/>
          <w:kern w:val="0"/>
          <w:sz w:val="28"/>
          <w:szCs w:val="28"/>
        </w:rPr>
        <w:t>对成交结果提出质疑的，为成交结果</w:t>
      </w:r>
      <w:r>
        <w:rPr>
          <w:rFonts w:hint="eastAsia" w:ascii="宋体" w:hAnsi="宋体" w:cs="宋体"/>
          <w:color w:val="auto"/>
          <w:kern w:val="0"/>
          <w:sz w:val="28"/>
          <w:szCs w:val="28"/>
          <w:lang w:eastAsia="zh-CN"/>
        </w:rPr>
        <w:t>通告</w:t>
      </w:r>
      <w:r>
        <w:rPr>
          <w:rFonts w:hint="eastAsia" w:ascii="宋体" w:hAnsi="宋体" w:cs="宋体"/>
          <w:color w:val="auto"/>
          <w:kern w:val="0"/>
          <w:sz w:val="28"/>
          <w:szCs w:val="28"/>
        </w:rPr>
        <w:t>期限届满之日。</w:t>
      </w:r>
    </w:p>
    <w:p w14:paraId="2E4BB325">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供应商应当在法定质疑期内一次性提出针对同一采购程序环节的质疑。</w:t>
      </w:r>
    </w:p>
    <w:p w14:paraId="5EB8697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14:paraId="39B03F4E">
      <w:pPr>
        <w:adjustRightInd w:val="0"/>
        <w:snapToGrid w:val="0"/>
        <w:spacing w:line="460" w:lineRule="exact"/>
        <w:ind w:firstLine="560" w:firstLineChars="200"/>
        <w:rPr>
          <w:rFonts w:hint="eastAsia" w:ascii="宋体" w:hAnsi="宋体" w:cs="宋体"/>
          <w:b/>
          <w:color w:val="auto"/>
          <w:sz w:val="28"/>
          <w:szCs w:val="28"/>
        </w:rPr>
      </w:pPr>
      <w:r>
        <w:rPr>
          <w:rFonts w:hint="eastAsia" w:ascii="宋体" w:hAnsi="宋体" w:cs="宋体"/>
          <w:color w:val="auto"/>
          <w:sz w:val="28"/>
          <w:szCs w:val="28"/>
        </w:rPr>
        <w:t>2.4对采购方式、</w:t>
      </w:r>
      <w:r>
        <w:rPr>
          <w:rFonts w:hint="eastAsia" w:ascii="宋体" w:hAnsi="宋体" w:cs="宋体"/>
          <w:color w:val="auto"/>
          <w:sz w:val="28"/>
          <w:szCs w:val="28"/>
          <w:lang w:eastAsia="zh-CN"/>
        </w:rPr>
        <w:t>采购</w:t>
      </w:r>
      <w:r>
        <w:rPr>
          <w:rFonts w:hint="eastAsia" w:ascii="宋体" w:hAnsi="宋体" w:cs="宋体"/>
          <w:color w:val="auto"/>
          <w:sz w:val="28"/>
          <w:szCs w:val="28"/>
        </w:rPr>
        <w:t>文件中项目需求、供应商资格条件、评标方法和评标标准、资格审查结果等应当由采购人答复的质疑，请向采购人提出，由采购人负责答复。供应商对其他事项的质疑，请向代理机构提出，由采购人或代理机构负责答复。</w:t>
      </w:r>
    </w:p>
    <w:p w14:paraId="141E1735">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供应商提起质疑采取书面形式，可以现场送达，也可以邮寄。</w:t>
      </w:r>
    </w:p>
    <w:p w14:paraId="3C2C989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采购人及代理机构质疑接收人及联系方式，见磋商文件第一部分。</w:t>
      </w:r>
    </w:p>
    <w:p w14:paraId="0487C40D">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2.5</w:t>
      </w:r>
      <w:r>
        <w:rPr>
          <w:rFonts w:hint="eastAsia" w:ascii="宋体" w:hAnsi="宋体" w:cs="宋体"/>
          <w:color w:val="auto"/>
          <w:sz w:val="28"/>
          <w:szCs w:val="28"/>
        </w:rPr>
        <w:t>供应商提出质疑应当提交质疑函和必要的证明材料，否则不予受理。质疑函应当包括下列内容：</w:t>
      </w:r>
    </w:p>
    <w:p w14:paraId="39581C9E">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供应商的姓名或者名称、地址、邮编、联系人及联系电话；</w:t>
      </w:r>
    </w:p>
    <w:p w14:paraId="51D499AF">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质疑项目的名称、编号；</w:t>
      </w:r>
    </w:p>
    <w:p w14:paraId="7B14F155">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具体、明确的质疑事项和与质疑事项相关的请求；</w:t>
      </w:r>
    </w:p>
    <w:p w14:paraId="32E34D4B">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事实依据；</w:t>
      </w:r>
    </w:p>
    <w:p w14:paraId="0F107132">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必要的法律依据；</w:t>
      </w:r>
    </w:p>
    <w:p w14:paraId="14663870">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提出质疑的日期。</w:t>
      </w:r>
    </w:p>
    <w:p w14:paraId="5AD6823A">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供应商为自然人的，应当由本人签字；供应商为法人或者其他组织的，应当由法定代表人、主要负责人，或者其授权代表签字或者盖章，并加盖公章。</w:t>
      </w:r>
    </w:p>
    <w:p w14:paraId="56604064">
      <w:pPr>
        <w:keepNext/>
        <w:adjustRightInd w:val="0"/>
        <w:snapToGrid w:val="0"/>
        <w:spacing w:line="460" w:lineRule="exact"/>
        <w:ind w:firstLine="560" w:firstLineChars="200"/>
        <w:rPr>
          <w:rFonts w:hint="eastAsia" w:ascii="宋体" w:hAnsi="宋体" w:cs="宋体"/>
          <w:b/>
          <w:color w:val="auto"/>
          <w:kern w:val="0"/>
          <w:sz w:val="28"/>
          <w:szCs w:val="28"/>
        </w:rPr>
      </w:pPr>
      <w:r>
        <w:rPr>
          <w:rFonts w:hint="eastAsia" w:ascii="宋体" w:hAnsi="宋体" w:cs="宋体"/>
          <w:color w:val="auto"/>
          <w:kern w:val="0"/>
          <w:sz w:val="28"/>
          <w:szCs w:val="28"/>
        </w:rPr>
        <w:t>3．成交通知书</w:t>
      </w:r>
    </w:p>
    <w:p w14:paraId="4E3436C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3.l</w:t>
      </w:r>
      <w:r>
        <w:rPr>
          <w:rFonts w:hint="eastAsia" w:ascii="宋体" w:hAnsi="宋体" w:cs="宋体"/>
          <w:b/>
          <w:color w:val="auto"/>
          <w:sz w:val="28"/>
          <w:szCs w:val="28"/>
        </w:rPr>
        <w:t xml:space="preserve"> </w:t>
      </w:r>
      <w:r>
        <w:rPr>
          <w:rFonts w:hint="eastAsia" w:ascii="宋体" w:hAnsi="宋体" w:cs="宋体"/>
          <w:color w:val="auto"/>
          <w:sz w:val="28"/>
          <w:szCs w:val="28"/>
        </w:rPr>
        <w:t>成交结果确定后，采购人将向成交供应商发出成交通知书。成交供应商应在成交结果</w:t>
      </w:r>
      <w:r>
        <w:rPr>
          <w:rFonts w:hint="eastAsia" w:ascii="宋体" w:hAnsi="宋体" w:cs="宋体"/>
          <w:color w:val="auto"/>
          <w:sz w:val="28"/>
          <w:szCs w:val="28"/>
          <w:lang w:eastAsia="zh-CN"/>
        </w:rPr>
        <w:t>通告</w:t>
      </w:r>
      <w:r>
        <w:rPr>
          <w:rFonts w:hint="eastAsia" w:ascii="宋体" w:hAnsi="宋体" w:cs="宋体"/>
          <w:color w:val="auto"/>
          <w:sz w:val="28"/>
          <w:szCs w:val="28"/>
        </w:rPr>
        <w:t>期满后5个工作日内到采购代理机构办理领取成交通知书手续，否则，由此产生的后果供应商自负。</w:t>
      </w:r>
    </w:p>
    <w:p w14:paraId="15FFDD05">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3.2成交通知书将是合同的一个组成部分，对采购人和成交供应商均具有法律效力。成交通知书发出后，采购人改变成交结果的，或者成交供应商放弃磋商项目的，应当依法承担法律责任。</w:t>
      </w:r>
    </w:p>
    <w:p w14:paraId="211AEF42">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79" w:name="_Toc120614220"/>
      <w:bookmarkStart w:id="80" w:name="_Toc513029236"/>
      <w:bookmarkStart w:id="81" w:name="_Toc16938552"/>
      <w:bookmarkStart w:id="82" w:name="_Toc20823308"/>
      <w:r>
        <w:rPr>
          <w:rFonts w:hint="eastAsia" w:ascii="宋体" w:hAnsi="宋体" w:cs="宋体"/>
          <w:b/>
          <w:bCs/>
          <w:color w:val="auto"/>
          <w:kern w:val="0"/>
          <w:sz w:val="28"/>
          <w:szCs w:val="28"/>
        </w:rPr>
        <w:t>七、授予合同</w:t>
      </w:r>
      <w:bookmarkEnd w:id="79"/>
    </w:p>
    <w:bookmarkEnd w:id="80"/>
    <w:bookmarkEnd w:id="81"/>
    <w:bookmarkEnd w:id="82"/>
    <w:p w14:paraId="5E38899F">
      <w:pPr>
        <w:keepNext/>
        <w:adjustRightInd w:val="0"/>
        <w:snapToGrid w:val="0"/>
        <w:spacing w:line="460" w:lineRule="exact"/>
        <w:ind w:firstLine="560" w:firstLineChars="200"/>
        <w:rPr>
          <w:rFonts w:hint="eastAsia" w:ascii="宋体" w:hAnsi="宋体" w:cs="宋体"/>
          <w:b/>
          <w:color w:val="auto"/>
          <w:kern w:val="0"/>
          <w:sz w:val="28"/>
          <w:szCs w:val="28"/>
        </w:rPr>
      </w:pPr>
      <w:bookmarkStart w:id="83" w:name="_Toc513029237"/>
      <w:bookmarkStart w:id="84" w:name="_Toc20823309"/>
      <w:bookmarkStart w:id="85" w:name="_Toc16938553"/>
      <w:r>
        <w:rPr>
          <w:rFonts w:hint="eastAsia" w:ascii="宋体" w:hAnsi="宋体" w:cs="宋体"/>
          <w:color w:val="auto"/>
          <w:kern w:val="0"/>
          <w:sz w:val="28"/>
          <w:szCs w:val="28"/>
        </w:rPr>
        <w:t>1.签订合同</w:t>
      </w:r>
    </w:p>
    <w:p w14:paraId="7ADF5DAB">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w:t>
      </w:r>
      <w:r>
        <w:rPr>
          <w:rFonts w:hint="eastAsia" w:ascii="宋体" w:hAnsi="宋体" w:cs="宋体"/>
          <w:color w:val="auto"/>
          <w:sz w:val="28"/>
          <w:szCs w:val="28"/>
        </w:rPr>
        <w:t>.l成交供应商应当在成交通知书发出之日起</w:t>
      </w:r>
      <w:r>
        <w:rPr>
          <w:rFonts w:hint="eastAsia" w:ascii="宋体" w:hAnsi="宋体" w:cs="宋体"/>
          <w:color w:val="auto"/>
          <w:sz w:val="28"/>
          <w:szCs w:val="28"/>
          <w:lang w:val="en-US" w:eastAsia="zh-CN"/>
        </w:rPr>
        <w:t>十五个工作日</w:t>
      </w:r>
      <w:r>
        <w:rPr>
          <w:rFonts w:hint="eastAsia" w:ascii="宋体" w:hAnsi="宋体" w:cs="宋体"/>
          <w:color w:val="auto"/>
          <w:sz w:val="28"/>
          <w:szCs w:val="28"/>
        </w:rPr>
        <w:t>内，按照磋商文件确定的事项与采购人签订采购合同。</w:t>
      </w:r>
    </w:p>
    <w:p w14:paraId="3B578BB0">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1.2磋商文件、成交供应商的响应文件及磋商过程中有关澄清、承诺文件均应作为合同附件。</w:t>
      </w:r>
    </w:p>
    <w:p w14:paraId="25D5643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1.3签订合同后，成交供应商不得将货物及其他相关服务进行转包。未经采购人同意，成交供应商也不得采用分包的形式履行合同，否则采购人有权终止合同。采购合同分包履行的，成交供应商就采购项目和分包项目向采购人负责，分包供应商就分包项目承担责任。转包或分包造成采购人损失的，成交供应商应承担相应赔偿责任。</w:t>
      </w:r>
    </w:p>
    <w:p w14:paraId="5AE2FBD9">
      <w:pPr>
        <w:keepNext/>
        <w:adjustRightInd w:val="0"/>
        <w:snapToGrid w:val="0"/>
        <w:spacing w:line="460" w:lineRule="exact"/>
        <w:ind w:firstLine="560" w:firstLineChars="200"/>
        <w:rPr>
          <w:rFonts w:hint="eastAsia" w:ascii="宋体" w:hAnsi="宋体" w:cs="宋体"/>
          <w:b/>
          <w:color w:val="auto"/>
          <w:kern w:val="0"/>
          <w:sz w:val="28"/>
          <w:szCs w:val="28"/>
        </w:rPr>
      </w:pPr>
      <w:r>
        <w:rPr>
          <w:rFonts w:hint="eastAsia" w:ascii="宋体" w:hAnsi="宋体" w:cs="宋体"/>
          <w:color w:val="auto"/>
          <w:kern w:val="0"/>
          <w:sz w:val="28"/>
          <w:szCs w:val="28"/>
        </w:rPr>
        <w:t>2.货物和服务的追加、减少和添购。</w:t>
      </w:r>
    </w:p>
    <w:p w14:paraId="032FA95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2.1合同履行中，采购人需追加与合同标的相同的货物和服务的，在不改变合同其他条款的前提下，可以与成交供应商协商签订补充合同，但所有补充合同的采购金额不超过原合同金额10%。</w:t>
      </w:r>
    </w:p>
    <w:p w14:paraId="10C83434">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2.2采购结束后，采购人若由于各种客观原因，必须对采购项目所牵涉的货物和服务进行适当的减少时，在双方协商一致的前提下，可以按照采购时的价格水平做相应的调减，并据此签订补充合同。</w:t>
      </w:r>
    </w:p>
    <w:p w14:paraId="68497A77">
      <w:pPr>
        <w:adjustRightInd w:val="0"/>
        <w:snapToGrid w:val="0"/>
        <w:spacing w:line="360" w:lineRule="auto"/>
        <w:ind w:firstLine="562" w:firstLineChars="200"/>
        <w:rPr>
          <w:rFonts w:hint="eastAsia" w:ascii="宋体" w:hAnsi="宋体" w:cs="宋体"/>
          <w:b/>
          <w:color w:val="auto"/>
          <w:sz w:val="28"/>
          <w:szCs w:val="28"/>
        </w:rPr>
      </w:pPr>
    </w:p>
    <w:bookmarkEnd w:id="83"/>
    <w:bookmarkEnd w:id="84"/>
    <w:bookmarkEnd w:id="85"/>
    <w:p w14:paraId="63E0C8AC">
      <w:pPr>
        <w:adjustRightInd w:val="0"/>
        <w:snapToGrid w:val="0"/>
        <w:spacing w:line="360" w:lineRule="auto"/>
        <w:jc w:val="center"/>
        <w:outlineLvl w:val="0"/>
        <w:rPr>
          <w:rFonts w:hint="eastAsia" w:ascii="宋体" w:hAnsi="宋体" w:cs="宋体"/>
          <w:color w:val="auto"/>
          <w:sz w:val="28"/>
          <w:szCs w:val="28"/>
        </w:rPr>
      </w:pPr>
      <w:r>
        <w:rPr>
          <w:rFonts w:hint="eastAsia" w:ascii="宋体" w:hAnsi="宋体" w:cs="宋体"/>
          <w:bCs/>
          <w:color w:val="auto"/>
          <w:sz w:val="36"/>
          <w:szCs w:val="36"/>
        </w:rPr>
        <w:br w:type="page"/>
      </w:r>
      <w:r>
        <w:rPr>
          <w:rFonts w:hint="eastAsia" w:ascii="宋体" w:hAnsi="宋体" w:cs="宋体"/>
          <w:bCs/>
          <w:color w:val="auto"/>
          <w:sz w:val="36"/>
          <w:szCs w:val="36"/>
        </w:rPr>
        <w:t>第三部分 项目需求</w:t>
      </w:r>
    </w:p>
    <w:p w14:paraId="3267B24A">
      <w:pPr>
        <w:adjustRightInd w:val="0"/>
        <w:snapToGrid w:val="0"/>
        <w:spacing w:line="4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A88AEBA">
      <w:pPr>
        <w:spacing w:after="120" w:line="500" w:lineRule="exact"/>
        <w:ind w:firstLine="0"/>
        <w:rPr>
          <w:rFonts w:hint="eastAsia" w:ascii="宋体" w:hAnsi="宋体" w:eastAsia="宋体"/>
          <w:b/>
          <w:bCs/>
          <w:sz w:val="28"/>
          <w:szCs w:val="36"/>
          <w:lang w:eastAsia="zh-CN"/>
        </w:rPr>
      </w:pPr>
      <w:r>
        <w:rPr>
          <w:rFonts w:hint="eastAsia" w:ascii="宋体" w:hAnsi="宋体" w:cs="宋体"/>
          <w:b/>
          <w:bCs/>
          <w:sz w:val="28"/>
          <w:szCs w:val="28"/>
        </w:rPr>
        <w:t>一、</w:t>
      </w:r>
      <w:r>
        <w:rPr>
          <w:rFonts w:hint="eastAsia" w:ascii="宋体" w:hAnsi="宋体"/>
          <w:b/>
          <w:bCs/>
          <w:sz w:val="28"/>
          <w:szCs w:val="36"/>
          <w:lang w:eastAsia="zh-CN"/>
        </w:rPr>
        <w:t>项目需求</w:t>
      </w:r>
    </w:p>
    <w:p w14:paraId="62EB6646">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驻点运维服务</w:t>
      </w:r>
    </w:p>
    <w:p w14:paraId="7BBF6C3C">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驻点工作要求</w:t>
      </w:r>
    </w:p>
    <w:p w14:paraId="79A82DB5">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Cs/>
          <w:sz w:val="28"/>
          <w:szCs w:val="28"/>
        </w:rPr>
      </w:pPr>
      <w:r>
        <w:rPr>
          <w:rFonts w:hint="eastAsia" w:ascii="宋体" w:hAnsi="宋体" w:eastAsia="宋体" w:cs="宋体"/>
          <w:bCs/>
          <w:sz w:val="28"/>
          <w:szCs w:val="28"/>
        </w:rPr>
        <w:t>（1）工作时间</w:t>
      </w:r>
    </w:p>
    <w:p w14:paraId="43EE78F5">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派遣1名固定人员驻场提供技术服务，工作时间参照在校教职工时间要求，其它时间为电话值班，节假日按校方计划安排驻场值班。</w:t>
      </w:r>
    </w:p>
    <w:p w14:paraId="2EA320C1">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Cs/>
          <w:sz w:val="28"/>
          <w:szCs w:val="28"/>
        </w:rPr>
      </w:pPr>
      <w:r>
        <w:rPr>
          <w:rFonts w:hint="eastAsia" w:ascii="宋体" w:hAnsi="宋体" w:eastAsia="宋体" w:cs="宋体"/>
          <w:bCs/>
          <w:sz w:val="28"/>
          <w:szCs w:val="28"/>
        </w:rPr>
        <w:t>（2）人员要求</w:t>
      </w:r>
    </w:p>
    <w:p w14:paraId="432C461C">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派驻人员需大学本科</w:t>
      </w:r>
      <w:r>
        <w:rPr>
          <w:rFonts w:hint="eastAsia" w:ascii="宋体" w:hAnsi="宋体" w:cs="宋体"/>
          <w:bCs/>
          <w:sz w:val="28"/>
          <w:szCs w:val="28"/>
          <w:lang w:val="en-US" w:eastAsia="zh-CN"/>
        </w:rPr>
        <w:t>及以上</w:t>
      </w:r>
      <w:r>
        <w:rPr>
          <w:rFonts w:hint="eastAsia" w:ascii="宋体" w:hAnsi="宋体" w:eastAsia="宋体" w:cs="宋体"/>
          <w:bCs/>
          <w:sz w:val="28"/>
          <w:szCs w:val="28"/>
        </w:rPr>
        <w:t>毕业，从事网络工作或信息安全工作5年以上，派驻人员必须服从我校的管理和工作安排，遵守我校相关的规章制度。</w:t>
      </w:r>
    </w:p>
    <w:p w14:paraId="148A6A47">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Cs/>
          <w:sz w:val="28"/>
          <w:szCs w:val="28"/>
        </w:rPr>
      </w:pPr>
      <w:r>
        <w:rPr>
          <w:rFonts w:hint="eastAsia" w:ascii="宋体" w:hAnsi="宋体" w:eastAsia="宋体" w:cs="宋体"/>
          <w:bCs/>
          <w:sz w:val="28"/>
          <w:szCs w:val="28"/>
        </w:rPr>
        <w:t>（3）工作范围</w:t>
      </w:r>
    </w:p>
    <w:p w14:paraId="1D1BF1EC">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①负责校区内网络设备的安装、调试、替换、保养，网络运行状况的监测和处置，及时向我校提供合理化建议。维护过程中出现的替换产品及耗材由校方承担。</w:t>
      </w:r>
    </w:p>
    <w:p w14:paraId="541CB330">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②负责完成</w:t>
      </w:r>
      <w:r>
        <w:rPr>
          <w:rFonts w:hint="eastAsia" w:ascii="宋体" w:hAnsi="宋体" w:eastAsia="宋体" w:cs="宋体"/>
          <w:bCs/>
          <w:sz w:val="28"/>
          <w:szCs w:val="28"/>
          <w:lang w:eastAsia="zh-CN"/>
        </w:rPr>
        <w:t>采购</w:t>
      </w:r>
      <w:r>
        <w:rPr>
          <w:rFonts w:hint="eastAsia" w:ascii="宋体" w:hAnsi="宋体" w:eastAsia="宋体" w:cs="宋体"/>
          <w:bCs/>
          <w:sz w:val="28"/>
          <w:szCs w:val="28"/>
        </w:rPr>
        <w:t>文件内所涉及的相关工作。</w:t>
      </w:r>
    </w:p>
    <w:p w14:paraId="6C132B13">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2运维服务内容</w:t>
      </w:r>
      <w:bookmarkStart w:id="86" w:name="_Toc514664895"/>
      <w:r>
        <w:rPr>
          <w:rFonts w:hint="eastAsia" w:ascii="宋体" w:hAnsi="宋体" w:eastAsia="宋体" w:cs="宋体"/>
          <w:b/>
          <w:bCs/>
          <w:sz w:val="28"/>
          <w:szCs w:val="28"/>
        </w:rPr>
        <w:t>及要求</w:t>
      </w:r>
    </w:p>
    <w:bookmarkEnd w:id="86"/>
    <w:p w14:paraId="366874A9">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本项目主要服务地点为江苏省南通卫生高等职业技术学校，服务范围主要是网络维护、信息安全维护及其他交办的维护事项。</w:t>
      </w:r>
    </w:p>
    <w:tbl>
      <w:tblPr>
        <w:tblStyle w:val="27"/>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02"/>
        <w:gridCol w:w="6582"/>
      </w:tblGrid>
      <w:tr w14:paraId="1B85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75E1D72C">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序号</w:t>
            </w:r>
          </w:p>
        </w:tc>
        <w:tc>
          <w:tcPr>
            <w:tcW w:w="1502" w:type="dxa"/>
            <w:tcBorders>
              <w:top w:val="single" w:color="auto" w:sz="4" w:space="0"/>
              <w:left w:val="single" w:color="auto" w:sz="4" w:space="0"/>
              <w:bottom w:val="single" w:color="auto" w:sz="4" w:space="0"/>
              <w:right w:val="single" w:color="auto" w:sz="4" w:space="0"/>
            </w:tcBorders>
            <w:vAlign w:val="center"/>
          </w:tcPr>
          <w:p w14:paraId="7408AAF1">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项目</w:t>
            </w:r>
          </w:p>
        </w:tc>
        <w:tc>
          <w:tcPr>
            <w:tcW w:w="6582" w:type="dxa"/>
            <w:tcBorders>
              <w:top w:val="single" w:color="auto" w:sz="4" w:space="0"/>
              <w:left w:val="single" w:color="auto" w:sz="4" w:space="0"/>
              <w:bottom w:val="single" w:color="auto" w:sz="4" w:space="0"/>
              <w:right w:val="single" w:color="auto" w:sz="4" w:space="0"/>
            </w:tcBorders>
            <w:vAlign w:val="center"/>
          </w:tcPr>
          <w:p w14:paraId="0B92D86A">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服务内容</w:t>
            </w:r>
          </w:p>
        </w:tc>
      </w:tr>
      <w:tr w14:paraId="5650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A650EFE">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1</w:t>
            </w:r>
          </w:p>
        </w:tc>
        <w:tc>
          <w:tcPr>
            <w:tcW w:w="1502" w:type="dxa"/>
            <w:tcBorders>
              <w:top w:val="single" w:color="auto" w:sz="4" w:space="0"/>
              <w:left w:val="single" w:color="auto" w:sz="4" w:space="0"/>
              <w:bottom w:val="single" w:color="auto" w:sz="4" w:space="0"/>
              <w:right w:val="single" w:color="auto" w:sz="4" w:space="0"/>
            </w:tcBorders>
            <w:vAlign w:val="center"/>
          </w:tcPr>
          <w:p w14:paraId="71FD1863">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巡检服务</w:t>
            </w:r>
          </w:p>
        </w:tc>
        <w:tc>
          <w:tcPr>
            <w:tcW w:w="6582" w:type="dxa"/>
            <w:tcBorders>
              <w:top w:val="single" w:color="auto" w:sz="4" w:space="0"/>
              <w:left w:val="single" w:color="auto" w:sz="4" w:space="0"/>
              <w:right w:val="single" w:color="auto" w:sz="4" w:space="0"/>
            </w:tcBorders>
            <w:vAlign w:val="center"/>
          </w:tcPr>
          <w:p w14:paraId="159D804F">
            <w:pPr>
              <w:autoSpaceDE w:val="0"/>
              <w:autoSpaceDN w:val="0"/>
              <w:adjustRightInd w:val="0"/>
              <w:rPr>
                <w:rFonts w:hint="eastAsia" w:ascii="宋体" w:hAnsi="宋体" w:eastAsia="宋体" w:cs="宋体"/>
                <w:bCs/>
                <w:sz w:val="28"/>
                <w:szCs w:val="28"/>
              </w:rPr>
            </w:pPr>
            <w:r>
              <w:rPr>
                <w:rFonts w:hint="eastAsia" w:ascii="宋体" w:hAnsi="宋体" w:eastAsia="宋体" w:cs="宋体"/>
                <w:bCs/>
                <w:sz w:val="28"/>
                <w:szCs w:val="28"/>
              </w:rPr>
              <w:t>供应商有义务对网络设备进行常规巡检、调整及网络故障的排除工作，实时监测各类网络设备的运行状态。</w:t>
            </w:r>
          </w:p>
        </w:tc>
      </w:tr>
      <w:tr w14:paraId="5C35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58B7259A">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2</w:t>
            </w:r>
          </w:p>
        </w:tc>
        <w:tc>
          <w:tcPr>
            <w:tcW w:w="1502" w:type="dxa"/>
            <w:tcBorders>
              <w:top w:val="single" w:color="auto" w:sz="4" w:space="0"/>
              <w:left w:val="single" w:color="auto" w:sz="4" w:space="0"/>
              <w:bottom w:val="single" w:color="auto" w:sz="4" w:space="0"/>
              <w:right w:val="single" w:color="auto" w:sz="4" w:space="0"/>
            </w:tcBorders>
            <w:vAlign w:val="center"/>
          </w:tcPr>
          <w:p w14:paraId="052A78B7">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记录更新服务</w:t>
            </w:r>
          </w:p>
        </w:tc>
        <w:tc>
          <w:tcPr>
            <w:tcW w:w="6582" w:type="dxa"/>
            <w:tcBorders>
              <w:left w:val="single" w:color="auto" w:sz="4" w:space="0"/>
              <w:right w:val="single" w:color="auto" w:sz="4" w:space="0"/>
            </w:tcBorders>
            <w:vAlign w:val="center"/>
          </w:tcPr>
          <w:p w14:paraId="4965A9F2">
            <w:pPr>
              <w:autoSpaceDE w:val="0"/>
              <w:autoSpaceDN w:val="0"/>
              <w:adjustRightInd w:val="0"/>
              <w:rPr>
                <w:rFonts w:hint="eastAsia" w:ascii="宋体" w:hAnsi="宋体" w:eastAsia="宋体" w:cs="宋体"/>
                <w:bCs/>
                <w:sz w:val="28"/>
                <w:szCs w:val="28"/>
              </w:rPr>
            </w:pPr>
            <w:r>
              <w:rPr>
                <w:rFonts w:hint="eastAsia" w:ascii="宋体" w:hAnsi="宋体" w:eastAsia="宋体" w:cs="宋体"/>
                <w:bCs/>
                <w:sz w:val="28"/>
                <w:szCs w:val="28"/>
              </w:rPr>
              <w:t>负责学生公寓网络及相关设备的维护服务工作，制定维护服务计划、合理安排工作时间，做好设备、IP、物理地址的更新和登记工作。</w:t>
            </w:r>
          </w:p>
        </w:tc>
      </w:tr>
      <w:tr w14:paraId="6259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0ADD83B0">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3</w:t>
            </w:r>
          </w:p>
        </w:tc>
        <w:tc>
          <w:tcPr>
            <w:tcW w:w="1502" w:type="dxa"/>
            <w:tcBorders>
              <w:top w:val="single" w:color="auto" w:sz="4" w:space="0"/>
              <w:left w:val="single" w:color="auto" w:sz="4" w:space="0"/>
              <w:bottom w:val="single" w:color="auto" w:sz="4" w:space="0"/>
              <w:right w:val="single" w:color="auto" w:sz="4" w:space="0"/>
            </w:tcBorders>
            <w:vAlign w:val="center"/>
          </w:tcPr>
          <w:p w14:paraId="6F11A577">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驻点服务</w:t>
            </w:r>
          </w:p>
        </w:tc>
        <w:tc>
          <w:tcPr>
            <w:tcW w:w="6582" w:type="dxa"/>
            <w:tcBorders>
              <w:left w:val="single" w:color="auto" w:sz="4" w:space="0"/>
              <w:right w:val="single" w:color="auto" w:sz="4" w:space="0"/>
            </w:tcBorders>
            <w:vAlign w:val="center"/>
          </w:tcPr>
          <w:p w14:paraId="1305BEB8">
            <w:pPr>
              <w:autoSpaceDE w:val="0"/>
              <w:autoSpaceDN w:val="0"/>
              <w:adjustRightInd w:val="0"/>
              <w:rPr>
                <w:rFonts w:hint="eastAsia" w:ascii="宋体" w:hAnsi="宋体" w:eastAsia="宋体" w:cs="宋体"/>
                <w:bCs/>
                <w:sz w:val="28"/>
                <w:szCs w:val="28"/>
              </w:rPr>
            </w:pPr>
            <w:r>
              <w:rPr>
                <w:rFonts w:hint="eastAsia" w:ascii="宋体" w:hAnsi="宋体" w:eastAsia="宋体" w:cs="宋体"/>
                <w:bCs/>
                <w:sz w:val="28"/>
                <w:szCs w:val="28"/>
              </w:rPr>
              <w:t>派驻1名具有多年维护服务经验，并且具有一定资质的工程师到我院常驻维护，派驻人员必须服从我校的管理和工作安排，遵守我校相关的规章制度。</w:t>
            </w:r>
          </w:p>
          <w:p w14:paraId="5E724F51">
            <w:pPr>
              <w:autoSpaceDE w:val="0"/>
              <w:autoSpaceDN w:val="0"/>
              <w:adjustRightInd w:val="0"/>
              <w:rPr>
                <w:rFonts w:hint="eastAsia" w:ascii="宋体" w:hAnsi="宋体" w:eastAsia="宋体" w:cs="宋体"/>
                <w:bCs/>
                <w:sz w:val="28"/>
                <w:szCs w:val="28"/>
              </w:rPr>
            </w:pPr>
            <w:r>
              <w:rPr>
                <w:rFonts w:hint="eastAsia" w:ascii="宋体" w:hAnsi="宋体" w:eastAsia="宋体" w:cs="宋体"/>
                <w:bCs/>
                <w:sz w:val="28"/>
                <w:szCs w:val="28"/>
              </w:rPr>
              <w:t>提供快捷、安全、7*24小时技术服务，节假日（寒暑假除外）需安排驻场值班。</w:t>
            </w:r>
          </w:p>
        </w:tc>
      </w:tr>
      <w:tr w14:paraId="3EEF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26198EE3">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4</w:t>
            </w:r>
          </w:p>
        </w:tc>
        <w:tc>
          <w:tcPr>
            <w:tcW w:w="1502" w:type="dxa"/>
            <w:tcBorders>
              <w:top w:val="single" w:color="auto" w:sz="4" w:space="0"/>
              <w:left w:val="single" w:color="auto" w:sz="4" w:space="0"/>
              <w:bottom w:val="single" w:color="auto" w:sz="4" w:space="0"/>
              <w:right w:val="single" w:color="auto" w:sz="4" w:space="0"/>
            </w:tcBorders>
            <w:vAlign w:val="center"/>
          </w:tcPr>
          <w:p w14:paraId="3D8B5150">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应急支撑服务</w:t>
            </w:r>
          </w:p>
        </w:tc>
        <w:tc>
          <w:tcPr>
            <w:tcW w:w="6582" w:type="dxa"/>
            <w:tcBorders>
              <w:left w:val="single" w:color="auto" w:sz="4" w:space="0"/>
              <w:right w:val="single" w:color="auto" w:sz="4" w:space="0"/>
            </w:tcBorders>
            <w:vAlign w:val="center"/>
          </w:tcPr>
          <w:p w14:paraId="24BB4268">
            <w:pPr>
              <w:autoSpaceDE w:val="0"/>
              <w:autoSpaceDN w:val="0"/>
              <w:adjustRightInd w:val="0"/>
              <w:rPr>
                <w:rFonts w:hint="eastAsia" w:ascii="宋体" w:hAnsi="宋体" w:eastAsia="宋体" w:cs="宋体"/>
                <w:bCs/>
                <w:sz w:val="28"/>
                <w:szCs w:val="28"/>
              </w:rPr>
            </w:pPr>
            <w:r>
              <w:rPr>
                <w:rFonts w:hint="eastAsia" w:ascii="宋体" w:hAnsi="宋体" w:eastAsia="宋体" w:cs="宋体"/>
                <w:bCs/>
                <w:sz w:val="28"/>
                <w:szCs w:val="28"/>
              </w:rPr>
              <w:t>供应商负责成立有3-5人组成的应急支撑团队，负责应对由于不可预见因素造成的突发事件、大面积网络报修、病毒引起的区域网络阻塞等状况。</w:t>
            </w:r>
          </w:p>
        </w:tc>
      </w:tr>
      <w:tr w14:paraId="0A9C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7CD7226E">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5</w:t>
            </w:r>
          </w:p>
        </w:tc>
        <w:tc>
          <w:tcPr>
            <w:tcW w:w="1502" w:type="dxa"/>
            <w:tcBorders>
              <w:top w:val="single" w:color="auto" w:sz="4" w:space="0"/>
              <w:left w:val="single" w:color="auto" w:sz="4" w:space="0"/>
              <w:bottom w:val="single" w:color="auto" w:sz="4" w:space="0"/>
              <w:right w:val="single" w:color="auto" w:sz="4" w:space="0"/>
            </w:tcBorders>
            <w:vAlign w:val="center"/>
          </w:tcPr>
          <w:p w14:paraId="6450C30E">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网络维护服务</w:t>
            </w:r>
          </w:p>
        </w:tc>
        <w:tc>
          <w:tcPr>
            <w:tcW w:w="6582" w:type="dxa"/>
            <w:tcBorders>
              <w:left w:val="single" w:color="auto" w:sz="4" w:space="0"/>
              <w:right w:val="single" w:color="auto" w:sz="4" w:space="0"/>
            </w:tcBorders>
            <w:vAlign w:val="center"/>
          </w:tcPr>
          <w:p w14:paraId="0957DBE9">
            <w:pPr>
              <w:autoSpaceDE w:val="0"/>
              <w:autoSpaceDN w:val="0"/>
              <w:adjustRightInd w:val="0"/>
              <w:rPr>
                <w:rFonts w:hint="eastAsia" w:ascii="宋体" w:hAnsi="宋体" w:eastAsia="宋体" w:cs="宋体"/>
                <w:bCs/>
                <w:sz w:val="28"/>
                <w:szCs w:val="28"/>
              </w:rPr>
            </w:pPr>
            <w:r>
              <w:rPr>
                <w:rFonts w:hint="eastAsia" w:ascii="宋体" w:hAnsi="宋体" w:eastAsia="宋体" w:cs="宋体"/>
                <w:bCs/>
                <w:sz w:val="28"/>
                <w:szCs w:val="28"/>
              </w:rPr>
              <w:t>网络设备的安装、调试、替换、保养，网络运行状况的监测和监控，及时向我校提供合理化建议。</w:t>
            </w:r>
          </w:p>
        </w:tc>
      </w:tr>
    </w:tbl>
    <w:p w14:paraId="26AC56B8">
      <w:pPr>
        <w:keepNext w:val="0"/>
        <w:keepLines w:val="0"/>
        <w:pageBreakBefore w:val="0"/>
        <w:widowControl w:val="0"/>
        <w:kinsoku/>
        <w:wordWrap/>
        <w:overflowPunct/>
        <w:topLinePunct w:val="0"/>
        <w:autoSpaceDE w:val="0"/>
        <w:autoSpaceDN w:val="0"/>
        <w:bidi w:val="0"/>
        <w:adjustRightInd w:val="0"/>
        <w:snapToGrid/>
        <w:spacing w:line="460" w:lineRule="exact"/>
        <w:ind w:firstLine="562" w:firstLineChars="200"/>
        <w:jc w:val="left"/>
        <w:textAlignment w:val="auto"/>
        <w:rPr>
          <w:rFonts w:hint="eastAsia" w:ascii="宋体" w:hAnsi="宋体" w:eastAsia="宋体" w:cs="宋体"/>
          <w:b/>
          <w:bCs/>
          <w:sz w:val="28"/>
          <w:szCs w:val="28"/>
        </w:rPr>
      </w:pPr>
      <w:r>
        <w:rPr>
          <w:rFonts w:hint="eastAsia" w:ascii="宋体" w:hAnsi="宋体" w:cs="宋体"/>
          <w:b/>
          <w:bCs/>
          <w:color w:val="558ED5" w:themeColor="text2" w:themeTint="99"/>
          <w:sz w:val="28"/>
          <w:szCs w:val="28"/>
          <w:lang w:val="en-US" w:eastAsia="zh-CN"/>
          <w14:textFill>
            <w14:solidFill>
              <w14:schemeClr w14:val="tx2">
                <w14:lumMod w14:val="60000"/>
                <w14:lumOff w14:val="40000"/>
              </w14:schemeClr>
            </w14:solidFill>
          </w14:textFill>
        </w:rPr>
        <w:t>注：投标时</w:t>
      </w:r>
      <w:r>
        <w:rPr>
          <w:rFonts w:hint="eastAsia" w:ascii="宋体" w:hAnsi="宋体" w:eastAsia="宋体" w:cs="宋体"/>
          <w:b/>
          <w:bCs/>
          <w:color w:val="558ED5" w:themeColor="text2" w:themeTint="99"/>
          <w:sz w:val="28"/>
          <w:szCs w:val="28"/>
          <w14:textFill>
            <w14:solidFill>
              <w14:schemeClr w14:val="tx2">
                <w14:lumMod w14:val="60000"/>
                <w14:lumOff w14:val="40000"/>
              </w14:schemeClr>
            </w14:solidFill>
          </w14:textFill>
        </w:rPr>
        <w:t>需要提供拟派驻人员</w:t>
      </w:r>
      <w:r>
        <w:rPr>
          <w:rFonts w:hint="eastAsia" w:ascii="宋体" w:hAnsi="宋体" w:cs="宋体"/>
          <w:b/>
          <w:bCs/>
          <w:color w:val="558ED5" w:themeColor="text2" w:themeTint="99"/>
          <w:sz w:val="28"/>
          <w:szCs w:val="28"/>
          <w:lang w:val="en-US" w:eastAsia="zh-CN"/>
          <w14:textFill>
            <w14:solidFill>
              <w14:schemeClr w14:val="tx2">
                <w14:lumMod w14:val="60000"/>
                <w14:lumOff w14:val="40000"/>
              </w14:schemeClr>
            </w14:solidFill>
          </w14:textFill>
        </w:rPr>
        <w:t>学历证明、工作年限证明材料和</w:t>
      </w:r>
      <w:r>
        <w:rPr>
          <w:rFonts w:hint="eastAsia" w:ascii="宋体" w:hAnsi="宋体" w:eastAsia="宋体" w:cs="宋体"/>
          <w:b/>
          <w:bCs/>
          <w:color w:val="558ED5" w:themeColor="text2" w:themeTint="99"/>
          <w:sz w:val="28"/>
          <w:szCs w:val="28"/>
          <w14:textFill>
            <w14:solidFill>
              <w14:schemeClr w14:val="tx2">
                <w14:lumMod w14:val="60000"/>
                <w14:lumOff w14:val="40000"/>
              </w14:schemeClr>
            </w14:solidFill>
          </w14:textFill>
        </w:rPr>
        <w:t>与</w:t>
      </w:r>
      <w:r>
        <w:rPr>
          <w:rFonts w:hint="eastAsia" w:ascii="宋体" w:hAnsi="宋体" w:eastAsia="宋体" w:cs="宋体"/>
          <w:b/>
          <w:bCs/>
          <w:color w:val="558ED5" w:themeColor="text2" w:themeTint="99"/>
          <w:sz w:val="28"/>
          <w:szCs w:val="28"/>
          <w:lang w:eastAsia="zh-CN"/>
          <w14:textFill>
            <w14:solidFill>
              <w14:schemeClr w14:val="tx2">
                <w14:lumMod w14:val="60000"/>
                <w14:lumOff w14:val="40000"/>
              </w14:schemeClr>
            </w14:solidFill>
          </w14:textFill>
        </w:rPr>
        <w:t>供应商</w:t>
      </w:r>
      <w:r>
        <w:rPr>
          <w:rFonts w:hint="eastAsia" w:ascii="宋体" w:hAnsi="宋体" w:eastAsia="宋体" w:cs="宋体"/>
          <w:b/>
          <w:bCs/>
          <w:color w:val="558ED5" w:themeColor="text2" w:themeTint="99"/>
          <w:sz w:val="28"/>
          <w:szCs w:val="28"/>
          <w14:textFill>
            <w14:solidFill>
              <w14:schemeClr w14:val="tx2">
                <w14:lumMod w14:val="60000"/>
                <w14:lumOff w14:val="40000"/>
              </w14:schemeClr>
            </w14:solidFill>
          </w14:textFill>
        </w:rPr>
        <w:t>直接签订的劳务合同，并承诺派驻该人员驻场，</w:t>
      </w:r>
      <w:r>
        <w:rPr>
          <w:rFonts w:hint="eastAsia" w:ascii="宋体" w:hAnsi="宋体" w:cs="宋体"/>
          <w:b/>
          <w:bCs/>
          <w:color w:val="558ED5" w:themeColor="text2" w:themeTint="99"/>
          <w:sz w:val="28"/>
          <w:szCs w:val="28"/>
          <w:lang w:val="en-US" w:eastAsia="zh-CN"/>
          <w14:textFill>
            <w14:solidFill>
              <w14:schemeClr w14:val="tx2">
                <w14:lumMod w14:val="60000"/>
                <w14:lumOff w14:val="40000"/>
              </w14:schemeClr>
            </w14:solidFill>
          </w14:textFill>
        </w:rPr>
        <w:t>提供承诺函（格式自拟）</w:t>
      </w:r>
      <w:r>
        <w:rPr>
          <w:rFonts w:hint="eastAsia" w:ascii="宋体" w:hAnsi="宋体" w:cs="宋体"/>
          <w:b/>
          <w:bCs/>
          <w:sz w:val="28"/>
          <w:szCs w:val="28"/>
          <w:lang w:val="en-US" w:eastAsia="zh-CN"/>
        </w:rPr>
        <w:t>，</w:t>
      </w:r>
      <w:r>
        <w:rPr>
          <w:rFonts w:hint="eastAsia" w:ascii="宋体" w:hAnsi="宋体" w:eastAsia="宋体" w:cs="宋体"/>
          <w:b/>
          <w:bCs/>
          <w:sz w:val="28"/>
          <w:szCs w:val="28"/>
        </w:rPr>
        <w:t>否则将取消其</w:t>
      </w:r>
      <w:r>
        <w:rPr>
          <w:rFonts w:hint="eastAsia" w:ascii="宋体" w:hAnsi="宋体" w:eastAsia="宋体" w:cs="宋体"/>
          <w:b/>
          <w:bCs/>
          <w:sz w:val="28"/>
          <w:szCs w:val="28"/>
          <w:lang w:val="zh-CN"/>
        </w:rPr>
        <w:t>成交</w:t>
      </w:r>
      <w:r>
        <w:rPr>
          <w:rFonts w:hint="eastAsia" w:ascii="宋体" w:hAnsi="宋体" w:eastAsia="宋体" w:cs="宋体"/>
          <w:b/>
          <w:bCs/>
          <w:sz w:val="28"/>
          <w:szCs w:val="28"/>
        </w:rPr>
        <w:t>资格，</w:t>
      </w:r>
      <w:r>
        <w:rPr>
          <w:rFonts w:hint="eastAsia" w:ascii="宋体" w:hAnsi="宋体" w:eastAsia="宋体" w:cs="宋体"/>
          <w:b/>
          <w:bCs/>
          <w:sz w:val="28"/>
          <w:szCs w:val="28"/>
          <w:lang w:eastAsia="zh-CN"/>
        </w:rPr>
        <w:t>采购人</w:t>
      </w:r>
      <w:r>
        <w:rPr>
          <w:rFonts w:hint="eastAsia" w:ascii="宋体" w:hAnsi="宋体" w:eastAsia="宋体" w:cs="宋体"/>
          <w:b/>
          <w:bCs/>
          <w:sz w:val="28"/>
          <w:szCs w:val="28"/>
        </w:rPr>
        <w:t>将拒签合同，投标单位将承担一切后果与责任。</w:t>
      </w:r>
    </w:p>
    <w:p w14:paraId="3C8785E5">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安全运维服务内容及要求</w:t>
      </w:r>
    </w:p>
    <w:p w14:paraId="36286CBF">
      <w:pPr>
        <w:keepNext w:val="0"/>
        <w:keepLines w:val="0"/>
        <w:pageBreakBefore w:val="0"/>
        <w:widowControl w:val="0"/>
        <w:kinsoku/>
        <w:wordWrap/>
        <w:overflowPunct/>
        <w:topLinePunct w:val="0"/>
        <w:autoSpaceDE w:val="0"/>
        <w:autoSpaceDN w:val="0"/>
        <w:bidi w:val="0"/>
        <w:adjustRightInd w:val="0"/>
        <w:snapToGrid/>
        <w:spacing w:line="460" w:lineRule="exac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网络安全运维服务的项目及具体服务项</w:t>
      </w:r>
    </w:p>
    <w:tbl>
      <w:tblPr>
        <w:tblStyle w:val="27"/>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41"/>
        <w:gridCol w:w="4636"/>
      </w:tblGrid>
      <w:tr w14:paraId="1E1D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14:paraId="47E0AAF6">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序号</w:t>
            </w:r>
          </w:p>
        </w:tc>
        <w:tc>
          <w:tcPr>
            <w:tcW w:w="3041" w:type="dxa"/>
            <w:tcBorders>
              <w:top w:val="single" w:color="auto" w:sz="4" w:space="0"/>
              <w:left w:val="single" w:color="auto" w:sz="4" w:space="0"/>
              <w:bottom w:val="single" w:color="auto" w:sz="4" w:space="0"/>
              <w:right w:val="single" w:color="auto" w:sz="4" w:space="0"/>
            </w:tcBorders>
          </w:tcPr>
          <w:p w14:paraId="110B7577">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主项目</w:t>
            </w:r>
          </w:p>
        </w:tc>
        <w:tc>
          <w:tcPr>
            <w:tcW w:w="4636" w:type="dxa"/>
            <w:tcBorders>
              <w:top w:val="single" w:color="auto" w:sz="4" w:space="0"/>
              <w:left w:val="single" w:color="auto" w:sz="4" w:space="0"/>
              <w:bottom w:val="single" w:color="auto" w:sz="4" w:space="0"/>
              <w:right w:val="single" w:color="auto" w:sz="4" w:space="0"/>
            </w:tcBorders>
          </w:tcPr>
          <w:p w14:paraId="7FA5FE63">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子项目</w:t>
            </w:r>
          </w:p>
        </w:tc>
      </w:tr>
      <w:tr w14:paraId="5634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5FDF5792">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1</w:t>
            </w:r>
          </w:p>
        </w:tc>
        <w:tc>
          <w:tcPr>
            <w:tcW w:w="3041" w:type="dxa"/>
            <w:vMerge w:val="restart"/>
            <w:tcBorders>
              <w:top w:val="single" w:color="auto" w:sz="4" w:space="0"/>
              <w:left w:val="single" w:color="auto" w:sz="4" w:space="0"/>
              <w:bottom w:val="single" w:color="auto" w:sz="4" w:space="0"/>
              <w:right w:val="single" w:color="auto" w:sz="4" w:space="0"/>
            </w:tcBorders>
            <w:vAlign w:val="center"/>
          </w:tcPr>
          <w:p w14:paraId="162F6564">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基础安全服务</w:t>
            </w:r>
          </w:p>
        </w:tc>
        <w:tc>
          <w:tcPr>
            <w:tcW w:w="4636" w:type="dxa"/>
            <w:tcBorders>
              <w:top w:val="single" w:color="auto" w:sz="4" w:space="0"/>
              <w:left w:val="single" w:color="auto" w:sz="4" w:space="0"/>
              <w:bottom w:val="single" w:color="auto" w:sz="4" w:space="0"/>
              <w:right w:val="single" w:color="auto" w:sz="4" w:space="0"/>
            </w:tcBorders>
            <w:vAlign w:val="center"/>
          </w:tcPr>
          <w:p w14:paraId="33516FA4">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服务器安全</w:t>
            </w:r>
          </w:p>
        </w:tc>
      </w:tr>
      <w:tr w14:paraId="3BE5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3F598AF8">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2</w:t>
            </w:r>
          </w:p>
        </w:tc>
        <w:tc>
          <w:tcPr>
            <w:tcW w:w="3041" w:type="dxa"/>
            <w:vMerge w:val="continue"/>
            <w:tcBorders>
              <w:top w:val="single" w:color="auto" w:sz="4" w:space="0"/>
              <w:left w:val="single" w:color="auto" w:sz="4" w:space="0"/>
              <w:bottom w:val="single" w:color="auto" w:sz="4" w:space="0"/>
              <w:right w:val="single" w:color="auto" w:sz="4" w:space="0"/>
            </w:tcBorders>
            <w:vAlign w:val="center"/>
          </w:tcPr>
          <w:p w14:paraId="693517C5">
            <w:pPr>
              <w:autoSpaceDE w:val="0"/>
              <w:autoSpaceDN w:val="0"/>
              <w:adjustRightInd w:val="0"/>
              <w:jc w:val="left"/>
              <w:rPr>
                <w:rFonts w:hint="eastAsia" w:ascii="宋体" w:hAnsi="宋体" w:eastAsia="宋体" w:cs="宋体"/>
                <w:bCs/>
                <w:sz w:val="28"/>
                <w:szCs w:val="28"/>
              </w:rPr>
            </w:pPr>
          </w:p>
        </w:tc>
        <w:tc>
          <w:tcPr>
            <w:tcW w:w="4636" w:type="dxa"/>
            <w:tcBorders>
              <w:top w:val="single" w:color="auto" w:sz="4" w:space="0"/>
              <w:left w:val="single" w:color="auto" w:sz="4" w:space="0"/>
              <w:bottom w:val="single" w:color="auto" w:sz="4" w:space="0"/>
              <w:right w:val="single" w:color="auto" w:sz="4" w:space="0"/>
            </w:tcBorders>
            <w:vAlign w:val="center"/>
          </w:tcPr>
          <w:p w14:paraId="34DDCBF1">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网络安全</w:t>
            </w:r>
          </w:p>
        </w:tc>
      </w:tr>
      <w:tr w14:paraId="6BB4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727F7AF1">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3</w:t>
            </w:r>
          </w:p>
        </w:tc>
        <w:tc>
          <w:tcPr>
            <w:tcW w:w="3041" w:type="dxa"/>
            <w:vMerge w:val="restart"/>
            <w:tcBorders>
              <w:top w:val="single" w:color="auto" w:sz="4" w:space="0"/>
              <w:left w:val="single" w:color="auto" w:sz="4" w:space="0"/>
              <w:right w:val="single" w:color="auto" w:sz="4" w:space="0"/>
            </w:tcBorders>
            <w:vAlign w:val="center"/>
          </w:tcPr>
          <w:p w14:paraId="1F9C6F15">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专业网络安全服务</w:t>
            </w:r>
          </w:p>
        </w:tc>
        <w:tc>
          <w:tcPr>
            <w:tcW w:w="4636" w:type="dxa"/>
            <w:tcBorders>
              <w:top w:val="single" w:color="auto" w:sz="4" w:space="0"/>
              <w:left w:val="single" w:color="auto" w:sz="4" w:space="0"/>
              <w:bottom w:val="single" w:color="auto" w:sz="4" w:space="0"/>
              <w:right w:val="single" w:color="auto" w:sz="4" w:space="0"/>
            </w:tcBorders>
            <w:vAlign w:val="center"/>
          </w:tcPr>
          <w:p w14:paraId="4F5E3219">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安全扫描服务</w:t>
            </w:r>
          </w:p>
        </w:tc>
      </w:tr>
      <w:tr w14:paraId="6383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127B3454">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4</w:t>
            </w:r>
          </w:p>
        </w:tc>
        <w:tc>
          <w:tcPr>
            <w:tcW w:w="3041" w:type="dxa"/>
            <w:vMerge w:val="continue"/>
            <w:tcBorders>
              <w:left w:val="single" w:color="auto" w:sz="4" w:space="0"/>
              <w:right w:val="single" w:color="auto" w:sz="4" w:space="0"/>
            </w:tcBorders>
            <w:vAlign w:val="center"/>
          </w:tcPr>
          <w:p w14:paraId="1B93406D">
            <w:pPr>
              <w:autoSpaceDE w:val="0"/>
              <w:autoSpaceDN w:val="0"/>
              <w:adjustRightInd w:val="0"/>
              <w:jc w:val="left"/>
              <w:rPr>
                <w:rFonts w:hint="eastAsia" w:ascii="宋体" w:hAnsi="宋体" w:eastAsia="宋体" w:cs="宋体"/>
                <w:bCs/>
                <w:sz w:val="28"/>
                <w:szCs w:val="28"/>
              </w:rPr>
            </w:pPr>
          </w:p>
        </w:tc>
        <w:tc>
          <w:tcPr>
            <w:tcW w:w="4636" w:type="dxa"/>
            <w:tcBorders>
              <w:top w:val="single" w:color="auto" w:sz="4" w:space="0"/>
              <w:left w:val="single" w:color="auto" w:sz="4" w:space="0"/>
              <w:bottom w:val="single" w:color="auto" w:sz="4" w:space="0"/>
              <w:right w:val="single" w:color="auto" w:sz="4" w:space="0"/>
            </w:tcBorders>
            <w:vAlign w:val="center"/>
          </w:tcPr>
          <w:p w14:paraId="7B1B5B21">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渗透性测试服务</w:t>
            </w:r>
          </w:p>
        </w:tc>
      </w:tr>
      <w:tr w14:paraId="08C3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57AAA384">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5</w:t>
            </w:r>
          </w:p>
        </w:tc>
        <w:tc>
          <w:tcPr>
            <w:tcW w:w="3041" w:type="dxa"/>
            <w:vMerge w:val="continue"/>
            <w:tcBorders>
              <w:left w:val="single" w:color="auto" w:sz="4" w:space="0"/>
              <w:right w:val="single" w:color="auto" w:sz="4" w:space="0"/>
            </w:tcBorders>
            <w:vAlign w:val="center"/>
          </w:tcPr>
          <w:p w14:paraId="484FE1B5">
            <w:pPr>
              <w:autoSpaceDE w:val="0"/>
              <w:autoSpaceDN w:val="0"/>
              <w:adjustRightInd w:val="0"/>
              <w:jc w:val="left"/>
              <w:rPr>
                <w:rFonts w:hint="eastAsia" w:ascii="宋体" w:hAnsi="宋体" w:eastAsia="宋体" w:cs="宋体"/>
                <w:bCs/>
                <w:sz w:val="28"/>
                <w:szCs w:val="28"/>
              </w:rPr>
            </w:pPr>
          </w:p>
        </w:tc>
        <w:tc>
          <w:tcPr>
            <w:tcW w:w="4636" w:type="dxa"/>
            <w:tcBorders>
              <w:top w:val="single" w:color="auto" w:sz="4" w:space="0"/>
              <w:left w:val="single" w:color="auto" w:sz="4" w:space="0"/>
              <w:bottom w:val="single" w:color="auto" w:sz="4" w:space="0"/>
              <w:right w:val="single" w:color="auto" w:sz="4" w:space="0"/>
            </w:tcBorders>
            <w:vAlign w:val="center"/>
          </w:tcPr>
          <w:p w14:paraId="3B92C607">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新应用上线安全检测服务</w:t>
            </w:r>
          </w:p>
        </w:tc>
      </w:tr>
      <w:tr w14:paraId="37E0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5CE557B1">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6</w:t>
            </w:r>
          </w:p>
        </w:tc>
        <w:tc>
          <w:tcPr>
            <w:tcW w:w="3041" w:type="dxa"/>
            <w:vMerge w:val="continue"/>
            <w:tcBorders>
              <w:left w:val="single" w:color="auto" w:sz="4" w:space="0"/>
              <w:bottom w:val="single" w:color="auto" w:sz="4" w:space="0"/>
              <w:right w:val="single" w:color="auto" w:sz="4" w:space="0"/>
            </w:tcBorders>
            <w:vAlign w:val="center"/>
          </w:tcPr>
          <w:p w14:paraId="65621656">
            <w:pPr>
              <w:autoSpaceDE w:val="0"/>
              <w:autoSpaceDN w:val="0"/>
              <w:adjustRightInd w:val="0"/>
              <w:jc w:val="left"/>
              <w:rPr>
                <w:rFonts w:hint="eastAsia" w:ascii="宋体" w:hAnsi="宋体" w:eastAsia="宋体" w:cs="宋体"/>
                <w:bCs/>
                <w:sz w:val="28"/>
                <w:szCs w:val="28"/>
              </w:rPr>
            </w:pPr>
          </w:p>
        </w:tc>
        <w:tc>
          <w:tcPr>
            <w:tcW w:w="4636" w:type="dxa"/>
            <w:tcBorders>
              <w:top w:val="single" w:color="auto" w:sz="4" w:space="0"/>
              <w:left w:val="single" w:color="auto" w:sz="4" w:space="0"/>
              <w:bottom w:val="single" w:color="auto" w:sz="4" w:space="0"/>
              <w:right w:val="single" w:color="auto" w:sz="4" w:space="0"/>
            </w:tcBorders>
            <w:vAlign w:val="center"/>
          </w:tcPr>
          <w:p w14:paraId="7EFFD6CD">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7×24小时网站监测服务</w:t>
            </w:r>
          </w:p>
        </w:tc>
      </w:tr>
      <w:tr w14:paraId="5E92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392CFCE9">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7</w:t>
            </w:r>
          </w:p>
        </w:tc>
        <w:tc>
          <w:tcPr>
            <w:tcW w:w="3041" w:type="dxa"/>
            <w:vMerge w:val="restart"/>
            <w:tcBorders>
              <w:top w:val="single" w:color="auto" w:sz="4" w:space="0"/>
              <w:left w:val="single" w:color="auto" w:sz="4" w:space="0"/>
              <w:right w:val="single" w:color="auto" w:sz="4" w:space="0"/>
            </w:tcBorders>
            <w:vAlign w:val="center"/>
          </w:tcPr>
          <w:p w14:paraId="0DEF360A">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咨询服务</w:t>
            </w:r>
          </w:p>
        </w:tc>
        <w:tc>
          <w:tcPr>
            <w:tcW w:w="4636" w:type="dxa"/>
            <w:tcBorders>
              <w:top w:val="single" w:color="auto" w:sz="4" w:space="0"/>
              <w:left w:val="single" w:color="auto" w:sz="4" w:space="0"/>
              <w:bottom w:val="single" w:color="auto" w:sz="4" w:space="0"/>
              <w:right w:val="single" w:color="auto" w:sz="4" w:space="0"/>
            </w:tcBorders>
            <w:vAlign w:val="center"/>
          </w:tcPr>
          <w:p w14:paraId="2CF8C45F">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日常安全咨询</w:t>
            </w:r>
          </w:p>
        </w:tc>
      </w:tr>
      <w:tr w14:paraId="6265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2CB41672">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8</w:t>
            </w:r>
          </w:p>
        </w:tc>
        <w:tc>
          <w:tcPr>
            <w:tcW w:w="3041" w:type="dxa"/>
            <w:vMerge w:val="continue"/>
            <w:tcBorders>
              <w:left w:val="single" w:color="auto" w:sz="4" w:space="0"/>
              <w:bottom w:val="single" w:color="auto" w:sz="4" w:space="0"/>
              <w:right w:val="single" w:color="auto" w:sz="4" w:space="0"/>
            </w:tcBorders>
            <w:vAlign w:val="center"/>
          </w:tcPr>
          <w:p w14:paraId="13CDEEAE">
            <w:pPr>
              <w:autoSpaceDE w:val="0"/>
              <w:autoSpaceDN w:val="0"/>
              <w:adjustRightInd w:val="0"/>
              <w:jc w:val="left"/>
              <w:rPr>
                <w:rFonts w:hint="eastAsia" w:ascii="宋体" w:hAnsi="宋体" w:eastAsia="宋体" w:cs="宋体"/>
                <w:bCs/>
                <w:sz w:val="28"/>
                <w:szCs w:val="28"/>
              </w:rPr>
            </w:pPr>
          </w:p>
        </w:tc>
        <w:tc>
          <w:tcPr>
            <w:tcW w:w="4636" w:type="dxa"/>
            <w:tcBorders>
              <w:top w:val="single" w:color="auto" w:sz="4" w:space="0"/>
              <w:left w:val="single" w:color="auto" w:sz="4" w:space="0"/>
              <w:bottom w:val="single" w:color="auto" w:sz="4" w:space="0"/>
              <w:right w:val="single" w:color="auto" w:sz="4" w:space="0"/>
            </w:tcBorders>
            <w:vAlign w:val="center"/>
          </w:tcPr>
          <w:p w14:paraId="5E4A45D4">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安全规划和解决方案设计</w:t>
            </w:r>
          </w:p>
        </w:tc>
      </w:tr>
      <w:tr w14:paraId="1D09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71CA99B8">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9</w:t>
            </w:r>
          </w:p>
        </w:tc>
        <w:tc>
          <w:tcPr>
            <w:tcW w:w="3041" w:type="dxa"/>
            <w:vMerge w:val="restart"/>
            <w:tcBorders>
              <w:top w:val="single" w:color="auto" w:sz="4" w:space="0"/>
              <w:left w:val="single" w:color="auto" w:sz="4" w:space="0"/>
              <w:right w:val="single" w:color="auto" w:sz="4" w:space="0"/>
            </w:tcBorders>
            <w:vAlign w:val="center"/>
          </w:tcPr>
          <w:p w14:paraId="047823C7">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应急支持服务</w:t>
            </w:r>
          </w:p>
        </w:tc>
        <w:tc>
          <w:tcPr>
            <w:tcW w:w="4636" w:type="dxa"/>
            <w:tcBorders>
              <w:top w:val="single" w:color="auto" w:sz="4" w:space="0"/>
              <w:left w:val="single" w:color="auto" w:sz="4" w:space="0"/>
              <w:bottom w:val="single" w:color="auto" w:sz="4" w:space="0"/>
              <w:right w:val="single" w:color="auto" w:sz="4" w:space="0"/>
            </w:tcBorders>
            <w:vAlign w:val="center"/>
          </w:tcPr>
          <w:p w14:paraId="10014D8E">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应急响应</w:t>
            </w:r>
          </w:p>
        </w:tc>
      </w:tr>
      <w:tr w14:paraId="4382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7E425C0E">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10</w:t>
            </w:r>
          </w:p>
        </w:tc>
        <w:tc>
          <w:tcPr>
            <w:tcW w:w="3041" w:type="dxa"/>
            <w:vMerge w:val="continue"/>
            <w:tcBorders>
              <w:left w:val="single" w:color="auto" w:sz="4" w:space="0"/>
              <w:bottom w:val="single" w:color="auto" w:sz="4" w:space="0"/>
              <w:right w:val="single" w:color="auto" w:sz="4" w:space="0"/>
            </w:tcBorders>
            <w:vAlign w:val="center"/>
          </w:tcPr>
          <w:p w14:paraId="52D280DE">
            <w:pPr>
              <w:autoSpaceDE w:val="0"/>
              <w:autoSpaceDN w:val="0"/>
              <w:adjustRightInd w:val="0"/>
              <w:jc w:val="left"/>
              <w:rPr>
                <w:rFonts w:hint="eastAsia" w:ascii="宋体" w:hAnsi="宋体" w:eastAsia="宋体" w:cs="宋体"/>
                <w:bCs/>
                <w:sz w:val="28"/>
                <w:szCs w:val="28"/>
              </w:rPr>
            </w:pPr>
          </w:p>
        </w:tc>
        <w:tc>
          <w:tcPr>
            <w:tcW w:w="4636" w:type="dxa"/>
            <w:tcBorders>
              <w:top w:val="single" w:color="auto" w:sz="4" w:space="0"/>
              <w:left w:val="single" w:color="auto" w:sz="4" w:space="0"/>
              <w:bottom w:val="single" w:color="auto" w:sz="4" w:space="0"/>
              <w:right w:val="single" w:color="auto" w:sz="4" w:space="0"/>
            </w:tcBorders>
            <w:vAlign w:val="center"/>
          </w:tcPr>
          <w:p w14:paraId="70A6A12F">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应急演练</w:t>
            </w:r>
          </w:p>
        </w:tc>
      </w:tr>
      <w:tr w14:paraId="2EF6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7DD32A3B">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11</w:t>
            </w:r>
          </w:p>
        </w:tc>
        <w:tc>
          <w:tcPr>
            <w:tcW w:w="3041" w:type="dxa"/>
            <w:tcBorders>
              <w:left w:val="single" w:color="auto" w:sz="4" w:space="0"/>
              <w:bottom w:val="single" w:color="auto" w:sz="4" w:space="0"/>
              <w:right w:val="single" w:color="auto" w:sz="4" w:space="0"/>
            </w:tcBorders>
            <w:vAlign w:val="center"/>
          </w:tcPr>
          <w:p w14:paraId="29080316">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安全通告服务</w:t>
            </w:r>
          </w:p>
        </w:tc>
        <w:tc>
          <w:tcPr>
            <w:tcW w:w="4636" w:type="dxa"/>
            <w:tcBorders>
              <w:top w:val="single" w:color="auto" w:sz="4" w:space="0"/>
              <w:left w:val="single" w:color="auto" w:sz="4" w:space="0"/>
              <w:bottom w:val="single" w:color="auto" w:sz="4" w:space="0"/>
              <w:right w:val="single" w:color="auto" w:sz="4" w:space="0"/>
            </w:tcBorders>
            <w:vAlign w:val="center"/>
          </w:tcPr>
          <w:p w14:paraId="336B1AF7">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安全通告</w:t>
            </w:r>
          </w:p>
        </w:tc>
      </w:tr>
      <w:tr w14:paraId="5187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38889A88">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12</w:t>
            </w:r>
          </w:p>
        </w:tc>
        <w:tc>
          <w:tcPr>
            <w:tcW w:w="3041" w:type="dxa"/>
            <w:tcBorders>
              <w:left w:val="single" w:color="auto" w:sz="4" w:space="0"/>
              <w:bottom w:val="single" w:color="auto" w:sz="4" w:space="0"/>
              <w:right w:val="single" w:color="auto" w:sz="4" w:space="0"/>
            </w:tcBorders>
            <w:vAlign w:val="center"/>
          </w:tcPr>
          <w:p w14:paraId="6B9D381C">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安全培训服务</w:t>
            </w:r>
          </w:p>
        </w:tc>
        <w:tc>
          <w:tcPr>
            <w:tcW w:w="4636" w:type="dxa"/>
            <w:tcBorders>
              <w:top w:val="single" w:color="auto" w:sz="4" w:space="0"/>
              <w:left w:val="single" w:color="auto" w:sz="4" w:space="0"/>
              <w:bottom w:val="single" w:color="auto" w:sz="4" w:space="0"/>
              <w:right w:val="single" w:color="auto" w:sz="4" w:space="0"/>
            </w:tcBorders>
            <w:vAlign w:val="center"/>
          </w:tcPr>
          <w:p w14:paraId="097E68CF">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安全培训</w:t>
            </w:r>
          </w:p>
        </w:tc>
      </w:tr>
      <w:tr w14:paraId="560C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58C1A31A">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13</w:t>
            </w:r>
          </w:p>
        </w:tc>
        <w:tc>
          <w:tcPr>
            <w:tcW w:w="3041" w:type="dxa"/>
            <w:tcBorders>
              <w:top w:val="single" w:color="auto" w:sz="4" w:space="0"/>
              <w:left w:val="single" w:color="auto" w:sz="4" w:space="0"/>
              <w:bottom w:val="single" w:color="auto" w:sz="4" w:space="0"/>
              <w:right w:val="single" w:color="auto" w:sz="4" w:space="0"/>
            </w:tcBorders>
            <w:vAlign w:val="center"/>
          </w:tcPr>
          <w:p w14:paraId="179AFE87">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其他</w:t>
            </w:r>
          </w:p>
        </w:tc>
        <w:tc>
          <w:tcPr>
            <w:tcW w:w="4636" w:type="dxa"/>
            <w:tcBorders>
              <w:top w:val="single" w:color="auto" w:sz="4" w:space="0"/>
              <w:left w:val="single" w:color="auto" w:sz="4" w:space="0"/>
              <w:bottom w:val="single" w:color="auto" w:sz="4" w:space="0"/>
              <w:right w:val="single" w:color="auto" w:sz="4" w:space="0"/>
            </w:tcBorders>
            <w:vAlign w:val="center"/>
          </w:tcPr>
          <w:p w14:paraId="302351F8">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所有信息系统的定级、备案工作。</w:t>
            </w:r>
          </w:p>
        </w:tc>
      </w:tr>
    </w:tbl>
    <w:p w14:paraId="31928955">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1基础安全服务</w:t>
      </w:r>
    </w:p>
    <w:p w14:paraId="5DAB49E2">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（1）服务器安全</w:t>
      </w:r>
    </w:p>
    <w:p w14:paraId="0F3E524C">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规划服务器安全策略，并进行部署，关闭服务器非常用端口，制定服务器安全需求分析，实现服务器安全事件的管理，防止服务器被攻击从而导致应用瘫痪（1次/月）。</w:t>
      </w:r>
    </w:p>
    <w:p w14:paraId="64E7F65D">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对服务器按月度进行常规的巡检，并做好巡检纪录，巡检内容包括硬件运行状况、系统软件的运行情况，发现的问题及解决的方法（1次/月）。</w:t>
      </w:r>
    </w:p>
    <w:p w14:paraId="31E335F0">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（2）网络安全</w:t>
      </w:r>
    </w:p>
    <w:p w14:paraId="7498FE18">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安全设备的常规巡检：对于堡垒机、数据库审计、日志审计和VPN等安全设备按月度进行常规的巡检，并做好巡检纪录，包括安全系统可达性、延时、性能观测等，例如CPU、内存使用率、攻击信息记录，递交安全分析报告（1次/月）。</w:t>
      </w:r>
    </w:p>
    <w:p w14:paraId="2C58CA9E">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网络安全设备配置管理：定期备份网络安全设备配置，防止由于异常情况导致网络中断且无法尽快恢复（1次/月）。</w:t>
      </w:r>
    </w:p>
    <w:p w14:paraId="6561D874">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安全设备的策略制定与部署：根据业务系统需求，制订合理的安全策略，规划安全策略的部署方案，并予以实施，包括访问控制策略、基于源与目的的业务控制等（1次/月）。</w:t>
      </w:r>
    </w:p>
    <w:p w14:paraId="75B9B7CC">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安全故障排除：安全故障的排除，主要是针对因网络设备配置、运行等而导致的网络瘫痪、访问不可达现象而进行的故障排除处理，确保网络稳定运行。</w:t>
      </w:r>
    </w:p>
    <w:p w14:paraId="70CD0F42">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安全系统的日常维护与管理:包括对安全设备在我局提供的规则库、病毒库的有效期内进行定期升级，针对性策略的更新与部署等（1次/月）。</w:t>
      </w:r>
    </w:p>
    <w:p w14:paraId="05CF4473">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安全日志的汇总与分析：对网络中所有安全系统包括防病毒、客户端管理系统的日志汇总与分析，评估网络安全系统的运行状态（1次/季度）。</w:t>
      </w:r>
    </w:p>
    <w:p w14:paraId="7B81B1C9">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安全隐患分析与强化：根据业务需求，制订网络安全解决方案，强化网络安全管理机制，实现网络安全策略的有效部署，提高网络安全稳定性（1次/季度）。</w:t>
      </w:r>
    </w:p>
    <w:p w14:paraId="7B31ECF4">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全网安全漏洞整改服务：按要求完成漏洞的验证及整改工作，涉及系统和软件层面的漏洞提供修补建议及方法（包括弱口令扫描、系统漏洞、网络设备漏洞、数据库及应用服务漏洞、Web应用漏洞：Web服务器是否存在测试页面、后台登录是否有限制、Web页面是否存在SQL注入、跨站等漏洞）（1次/季度）</w:t>
      </w:r>
    </w:p>
    <w:p w14:paraId="398E6D32">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安全配置检查服务：根据专用安全配置规范，将针对以下业务数据网络系统提供安全配置核查服务：主机设备、网络设备、业务系统。（1次/季度）</w:t>
      </w:r>
    </w:p>
    <w:p w14:paraId="27FFF6B3">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专业的网络安全服务</w:t>
      </w:r>
    </w:p>
    <w:p w14:paraId="21A7FB35">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（1）漏洞检测和处置服务</w:t>
      </w:r>
    </w:p>
    <w:p w14:paraId="445CF359">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对网络内主机（操作系统、中间件、数据库、应用软件）、安全设备等进行全网扫描，及时发现最新漏洞，并提交安全扫描报告（1次/月）。</w:t>
      </w:r>
    </w:p>
    <w:p w14:paraId="3CF08808">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根据安全扫描报告，对安全隐患根据实际情况提供安全加固和系统优化。对需要其他第三方支持的（如需应用开发方修复的、原厂响应的），提供完善建议（1次/月）。</w:t>
      </w:r>
    </w:p>
    <w:p w14:paraId="729F678E">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（2）渗透性测试服务</w:t>
      </w:r>
    </w:p>
    <w:p w14:paraId="6854ABD1">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根据需求，在不影响系统正常运行的前提下对重要信息系统进行多维度的信息系统测试服务，发现存在的渗透可能的相关脆弱性指标。及时对脆弱性指标提出整改措施（2次/年）。</w:t>
      </w:r>
    </w:p>
    <w:p w14:paraId="13506D3C">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（3）新应用上线安全服务</w:t>
      </w:r>
    </w:p>
    <w:p w14:paraId="0F7B5763">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若服务年度内，我单位有新应用上线的，在正式上线之前，对新应用进行扫描，并进行完整的风险评估，根据风险评估报告结果，协助用户方做好相应的整改工作。并协助做好重要信息系统的等级备案工作。</w:t>
      </w:r>
    </w:p>
    <w:p w14:paraId="09D43A79">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（4）7×24小时网站监测服务</w:t>
      </w:r>
    </w:p>
    <w:p w14:paraId="2DD3EEB4">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提供远程网页挂马监测服务、远程网页篡改监测服务、远程网页敏感内容监测服务、远程网站平稳度监测服务、远程网站域名监测服务、远程钓鱼网站监测服务定期出具周期性的监测报告，让我校能实时掌握网站的风险状况及安全趋势，实时监测和周期度量网站的风险隐患。</w:t>
      </w:r>
    </w:p>
    <w:p w14:paraId="36793274">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提供远程网页挂马监测服务，智能挂马检测技术，高效、准确识别网页挂马，第一时间通知我方清除，</w:t>
      </w:r>
    </w:p>
    <w:p w14:paraId="6291556B">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提供远程网页篡改监测服务，发现被篡改情况，第一时间及时修复。</w:t>
      </w:r>
    </w:p>
    <w:p w14:paraId="7C86DC6F">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提供远程网页敏感内容监测服务，实时监测我校网站页面，发现存在敏感关键词，第一时间通知我校及时删除。</w:t>
      </w:r>
    </w:p>
    <w:p w14:paraId="5CC3841C">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提供远程网站平稳度监测服务，第三方服务机构实时监测我校站点的响应速度、首页加载时间等反映网站运营状况的内容，发现网站无法访问，第一时间通知我校恢复，减少业务中断给我校造成的经济损失。</w:t>
      </w:r>
    </w:p>
    <w:p w14:paraId="53B014B1">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提供远程网站域名监测服务，第三方服务机构实时监测我校的DNS授权服务器及ISP的DNS缓存服务器和对我校网站域名的解析情况，如果无法解析或解析不正确，第一时间通知我校处理，减少域名不可用导致的业务损失。</w:t>
      </w:r>
    </w:p>
    <w:p w14:paraId="2516A112">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远程钓鱼网站监测服务，第三方服务机构实时监测互联网上存在的仿冒或钓鱼网站，一旦发现针对我校的仿冒或钓鱼网站，第一时间通知我校，协助拦截和关停，保护我校的经济利益和品牌信誉。</w:t>
      </w:r>
    </w:p>
    <w:p w14:paraId="702DF00D">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3咨询服务</w:t>
      </w:r>
    </w:p>
    <w:p w14:paraId="2D5F0BA0">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1）日常安全咨询：当软、硬件系统出现异常，怀疑为安全事件时，提供分析建议；当发生病毒爆发事件时，提供技术解决方式建议；当发生重大安全事件时，提供技术解决方式及系统加固建议，提供适当应急协调服务。</w:t>
      </w:r>
    </w:p>
    <w:p w14:paraId="324DB7FE">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2）安全规划和解决方案设计：提供信息系统安全建设的规划和方案设计服务，包含从项目立项、前期调研、可行性研究、方案设计、设备选型参考，招标书的制作以及项目管理辅助，项目验收辅助的整体的咨询服务解决方案。</w:t>
      </w:r>
    </w:p>
    <w:p w14:paraId="6A984DF5">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4应急支持</w:t>
      </w:r>
    </w:p>
    <w:p w14:paraId="6FF3A32B">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1）应急响应：在服务过程中，如客户遇到安全事故，须启动紧急技术支持服务，提供应急技术支撑团队提供紧急支持服务，制定响应措施，半小时内响应，24小时内解决，一般问题2小时解决问题。提供7*24热线支持，现场/远程技术支持最大限度地减少用户风险，快速排除故障。</w:t>
      </w:r>
    </w:p>
    <w:p w14:paraId="70C7896D">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（2）应急演练：协助学校根据《教育系统网络安全事件应急预案》中的内容，进行一次应急演练，并根据演练结果完善应急预案。应急演练要求开展实际演练，非模拟演练和桌面推演。</w:t>
      </w:r>
    </w:p>
    <w:p w14:paraId="31F00E83">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5安全通告</w:t>
      </w:r>
    </w:p>
    <w:p w14:paraId="6169916D">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安全通告服务以邮件、电话、走访等方式，将安全技术和安全信息及时传递给客户。有重大安全隐患出现时，需及时通告，并针对重大安全隐患提出应对策略，协助做好应对工作。</w:t>
      </w:r>
    </w:p>
    <w:p w14:paraId="29FCFAA2">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6安全培训</w:t>
      </w:r>
    </w:p>
    <w:p w14:paraId="6927F23D">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合同期内提供至少两次培训。培训方式可以使用在线培训、培训视频、现场培训等方法，需要满足信息化管理人员和技术人员8个学时。培训讲师需要具备一定的培训经验及资质，培训完成后需要提供学时证明。</w:t>
      </w:r>
    </w:p>
    <w:p w14:paraId="3C8502C0">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7其他</w:t>
      </w:r>
    </w:p>
    <w:p w14:paraId="55C74B80">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（1）配合完成上级管理单位要求的网络安全检查工作。</w:t>
      </w:r>
    </w:p>
    <w:p w14:paraId="59A85FD7">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（2）针对重大事件（会议、活动等），按用户要求提供系统保障。</w:t>
      </w:r>
    </w:p>
    <w:p w14:paraId="1ED1E1B8">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（3）配合完成所有信息系统的定级、备案工作。</w:t>
      </w:r>
    </w:p>
    <w:p w14:paraId="696896EA">
      <w:pPr>
        <w:spacing w:line="500" w:lineRule="exact"/>
        <w:ind w:firstLine="0"/>
        <w:rPr>
          <w:rFonts w:hint="eastAsia" w:ascii="宋体" w:hAnsi="宋体" w:eastAsia="宋体" w:cs="宋体"/>
          <w:b/>
          <w:bCs/>
          <w:sz w:val="28"/>
          <w:szCs w:val="28"/>
          <w:lang w:eastAsia="zh-CN"/>
        </w:rPr>
      </w:pPr>
      <w:r>
        <w:rPr>
          <w:rFonts w:hint="eastAsia" w:ascii="宋体" w:hAnsi="宋体" w:cs="宋体"/>
          <w:b/>
          <w:bCs/>
          <w:sz w:val="28"/>
          <w:szCs w:val="28"/>
          <w:lang w:eastAsia="zh-CN"/>
        </w:rPr>
        <w:t>二</w:t>
      </w:r>
      <w:r>
        <w:rPr>
          <w:rFonts w:hint="eastAsia" w:ascii="宋体" w:hAnsi="宋体" w:cs="宋体"/>
          <w:b/>
          <w:bCs/>
          <w:sz w:val="28"/>
          <w:szCs w:val="28"/>
        </w:rPr>
        <w:t>、</w:t>
      </w:r>
      <w:r>
        <w:rPr>
          <w:rFonts w:hint="eastAsia" w:ascii="宋体" w:hAnsi="宋体" w:cs="等线 Light"/>
          <w:b/>
          <w:bCs/>
          <w:sz w:val="28"/>
          <w:szCs w:val="28"/>
          <w:lang w:eastAsia="zh-CN"/>
        </w:rPr>
        <w:t>商务要求</w:t>
      </w:r>
    </w:p>
    <w:p w14:paraId="08F4D02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sz w:val="28"/>
          <w:szCs w:val="28"/>
        </w:rPr>
      </w:pPr>
      <w:r>
        <w:rPr>
          <w:rFonts w:hint="eastAsia" w:ascii="宋体" w:hAnsi="宋体" w:cs="宋体"/>
          <w:b w:val="0"/>
          <w:bCs w:val="0"/>
          <w:sz w:val="28"/>
          <w:szCs w:val="28"/>
        </w:rPr>
        <w:t>1.签定合同：自成交通知书发出之日起15个工作日内按时签约。本次</w:t>
      </w:r>
      <w:r>
        <w:rPr>
          <w:rFonts w:hint="eastAsia" w:ascii="宋体" w:hAnsi="宋体" w:cs="宋体"/>
          <w:b w:val="0"/>
          <w:bCs w:val="0"/>
          <w:sz w:val="28"/>
          <w:szCs w:val="28"/>
          <w:lang w:eastAsia="zh-CN"/>
        </w:rPr>
        <w:t>采购</w:t>
      </w:r>
      <w:r>
        <w:rPr>
          <w:rFonts w:hint="eastAsia" w:ascii="宋体" w:hAnsi="宋体" w:cs="宋体"/>
          <w:b w:val="0"/>
          <w:bCs w:val="0"/>
          <w:sz w:val="28"/>
          <w:szCs w:val="28"/>
        </w:rPr>
        <w:t>项目价格为一年服务费。</w:t>
      </w:r>
    </w:p>
    <w:p w14:paraId="36887CA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sz w:val="28"/>
          <w:szCs w:val="28"/>
        </w:rPr>
      </w:pPr>
      <w:r>
        <w:rPr>
          <w:rFonts w:hint="eastAsia" w:ascii="宋体" w:hAnsi="宋体" w:cs="宋体"/>
          <w:b w:val="0"/>
          <w:bCs w:val="0"/>
          <w:sz w:val="28"/>
          <w:szCs w:val="28"/>
          <w:lang w:val="en-US" w:eastAsia="zh-CN"/>
        </w:rPr>
        <w:t>2</w:t>
      </w:r>
      <w:r>
        <w:rPr>
          <w:rFonts w:hint="eastAsia" w:ascii="宋体" w:hAnsi="宋体" w:cs="宋体"/>
          <w:b w:val="0"/>
          <w:bCs w:val="0"/>
          <w:sz w:val="28"/>
          <w:szCs w:val="28"/>
        </w:rPr>
        <w:t>.</w:t>
      </w:r>
      <w:r>
        <w:rPr>
          <w:rFonts w:hint="eastAsia" w:ascii="宋体" w:hAnsi="宋体" w:cs="宋体"/>
          <w:b w:val="0"/>
          <w:bCs w:val="0"/>
          <w:sz w:val="28"/>
          <w:szCs w:val="28"/>
          <w:lang w:eastAsia="zh-CN"/>
        </w:rPr>
        <w:t>服务</w:t>
      </w:r>
      <w:r>
        <w:rPr>
          <w:rFonts w:hint="eastAsia" w:ascii="宋体" w:hAnsi="宋体" w:cs="宋体"/>
          <w:b w:val="0"/>
          <w:bCs w:val="0"/>
          <w:sz w:val="28"/>
          <w:szCs w:val="28"/>
        </w:rPr>
        <w:t>期：1年，自签订合同之日起开始。</w:t>
      </w:r>
    </w:p>
    <w:p w14:paraId="633B7BA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sz w:val="28"/>
          <w:szCs w:val="28"/>
        </w:rPr>
      </w:pPr>
      <w:r>
        <w:rPr>
          <w:rFonts w:hint="eastAsia" w:ascii="宋体" w:hAnsi="宋体" w:cs="宋体"/>
          <w:b w:val="0"/>
          <w:bCs w:val="0"/>
          <w:sz w:val="28"/>
          <w:szCs w:val="28"/>
          <w:lang w:val="en-US" w:eastAsia="zh-CN"/>
        </w:rPr>
        <w:t>3</w:t>
      </w:r>
      <w:r>
        <w:rPr>
          <w:rFonts w:hint="eastAsia" w:ascii="宋体" w:hAnsi="宋体" w:cs="宋体"/>
          <w:b w:val="0"/>
          <w:bCs w:val="0"/>
          <w:sz w:val="28"/>
          <w:szCs w:val="28"/>
        </w:rPr>
        <w:t>.服务地点：江苏省南通卫生高等职业技术学校。</w:t>
      </w:r>
    </w:p>
    <w:p w14:paraId="0E24806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sz w:val="28"/>
          <w:szCs w:val="28"/>
        </w:rPr>
      </w:pPr>
      <w:r>
        <w:rPr>
          <w:rFonts w:hint="eastAsia" w:ascii="宋体" w:hAnsi="宋体" w:cs="宋体"/>
          <w:b w:val="0"/>
          <w:bCs w:val="0"/>
          <w:sz w:val="28"/>
          <w:szCs w:val="28"/>
          <w:lang w:val="en-US" w:eastAsia="zh-CN"/>
        </w:rPr>
        <w:t>4</w:t>
      </w:r>
      <w:r>
        <w:rPr>
          <w:rFonts w:hint="eastAsia" w:ascii="宋体" w:hAnsi="宋体" w:cs="宋体"/>
          <w:b w:val="0"/>
          <w:bCs w:val="0"/>
          <w:sz w:val="28"/>
          <w:szCs w:val="28"/>
        </w:rPr>
        <w:t>.验收或考核方案：</w:t>
      </w:r>
    </w:p>
    <w:p w14:paraId="4B60170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sz w:val="28"/>
          <w:szCs w:val="28"/>
        </w:rPr>
      </w:pPr>
      <w:r>
        <w:rPr>
          <w:rFonts w:hint="eastAsia" w:ascii="宋体" w:hAnsi="宋体" w:cs="宋体"/>
          <w:b w:val="0"/>
          <w:bCs w:val="0"/>
          <w:sz w:val="28"/>
          <w:szCs w:val="28"/>
        </w:rPr>
        <w:t>（1）试用。由</w:t>
      </w:r>
      <w:r>
        <w:rPr>
          <w:rFonts w:hint="eastAsia" w:ascii="宋体" w:hAnsi="宋体" w:cs="宋体"/>
          <w:b w:val="0"/>
          <w:bCs w:val="0"/>
          <w:sz w:val="28"/>
          <w:szCs w:val="28"/>
          <w:lang w:eastAsia="zh-CN"/>
        </w:rPr>
        <w:t>采购人</w:t>
      </w:r>
      <w:r>
        <w:rPr>
          <w:rFonts w:hint="eastAsia" w:ascii="宋体" w:hAnsi="宋体" w:cs="宋体"/>
          <w:b w:val="0"/>
          <w:bCs w:val="0"/>
          <w:sz w:val="28"/>
          <w:szCs w:val="28"/>
        </w:rPr>
        <w:t>运维管理部门（即现教中心，以下同）对</w:t>
      </w:r>
      <w:r>
        <w:rPr>
          <w:rFonts w:hint="eastAsia" w:ascii="宋体" w:hAnsi="宋体" w:cs="宋体"/>
          <w:color w:val="auto"/>
          <w:sz w:val="28"/>
          <w:szCs w:val="28"/>
          <w:lang w:val="zh-CN"/>
        </w:rPr>
        <w:t>成交</w:t>
      </w:r>
      <w:r>
        <w:rPr>
          <w:rFonts w:hint="eastAsia" w:ascii="宋体" w:hAnsi="宋体" w:cs="宋体"/>
          <w:b w:val="0"/>
          <w:bCs w:val="0"/>
          <w:sz w:val="28"/>
          <w:szCs w:val="28"/>
        </w:rPr>
        <w:t>人拟派驻的运维人员进行为期一个月的试用。试用合格后不经</w:t>
      </w:r>
      <w:r>
        <w:rPr>
          <w:rFonts w:hint="eastAsia" w:ascii="宋体" w:hAnsi="宋体" w:cs="宋体"/>
          <w:b w:val="0"/>
          <w:bCs w:val="0"/>
          <w:sz w:val="28"/>
          <w:szCs w:val="28"/>
          <w:lang w:eastAsia="zh-CN"/>
        </w:rPr>
        <w:t>采购人</w:t>
      </w:r>
      <w:r>
        <w:rPr>
          <w:rFonts w:hint="eastAsia" w:ascii="宋体" w:hAnsi="宋体" w:cs="宋体"/>
          <w:b w:val="0"/>
          <w:bCs w:val="0"/>
          <w:sz w:val="28"/>
          <w:szCs w:val="28"/>
        </w:rPr>
        <w:t>运维管理部门书面同意，</w:t>
      </w:r>
      <w:r>
        <w:rPr>
          <w:rFonts w:hint="eastAsia" w:ascii="宋体" w:hAnsi="宋体" w:cs="宋体"/>
          <w:b w:val="0"/>
          <w:bCs w:val="0"/>
          <w:sz w:val="28"/>
          <w:szCs w:val="28"/>
          <w:lang w:eastAsia="zh-CN"/>
        </w:rPr>
        <w:t>供应商</w:t>
      </w:r>
      <w:r>
        <w:rPr>
          <w:rFonts w:hint="eastAsia" w:ascii="宋体" w:hAnsi="宋体" w:cs="宋体"/>
          <w:b w:val="0"/>
          <w:bCs w:val="0"/>
          <w:sz w:val="28"/>
          <w:szCs w:val="28"/>
        </w:rPr>
        <w:t>不得更换运维人员。若试用不合格，</w:t>
      </w:r>
      <w:r>
        <w:rPr>
          <w:rFonts w:hint="eastAsia" w:ascii="宋体" w:hAnsi="宋体" w:cs="宋体"/>
          <w:color w:val="auto"/>
          <w:sz w:val="28"/>
          <w:szCs w:val="28"/>
          <w:lang w:val="zh-CN"/>
        </w:rPr>
        <w:t>成交</w:t>
      </w:r>
      <w:r>
        <w:rPr>
          <w:rFonts w:hint="eastAsia" w:ascii="宋体" w:hAnsi="宋体" w:cs="宋体"/>
          <w:b w:val="0"/>
          <w:bCs w:val="0"/>
          <w:sz w:val="28"/>
          <w:szCs w:val="28"/>
        </w:rPr>
        <w:t>人需在三个工作日内派遣新运维人员再次进行试用，若人员未及时到位或累计三名派驻人员均未通过试用，则视为</w:t>
      </w:r>
      <w:r>
        <w:rPr>
          <w:rFonts w:hint="eastAsia" w:ascii="宋体" w:hAnsi="宋体" w:cs="宋体"/>
          <w:color w:val="auto"/>
          <w:sz w:val="28"/>
          <w:szCs w:val="28"/>
          <w:lang w:val="zh-CN"/>
        </w:rPr>
        <w:t>成交</w:t>
      </w:r>
      <w:r>
        <w:rPr>
          <w:rFonts w:hint="eastAsia" w:ascii="宋体" w:hAnsi="宋体" w:cs="宋体"/>
          <w:b w:val="0"/>
          <w:bCs w:val="0"/>
          <w:sz w:val="28"/>
          <w:szCs w:val="28"/>
        </w:rPr>
        <w:t>人无履约能力，</w:t>
      </w:r>
      <w:r>
        <w:rPr>
          <w:rFonts w:hint="eastAsia" w:ascii="宋体" w:hAnsi="宋体" w:cs="宋体"/>
          <w:b w:val="0"/>
          <w:bCs w:val="0"/>
          <w:sz w:val="28"/>
          <w:szCs w:val="28"/>
          <w:lang w:eastAsia="zh-CN"/>
        </w:rPr>
        <w:t>采购人</w:t>
      </w:r>
      <w:r>
        <w:rPr>
          <w:rFonts w:hint="eastAsia" w:ascii="宋体" w:hAnsi="宋体" w:cs="宋体"/>
          <w:b w:val="0"/>
          <w:bCs w:val="0"/>
          <w:sz w:val="28"/>
          <w:szCs w:val="28"/>
        </w:rPr>
        <w:t>可依法解除合同。</w:t>
      </w:r>
      <w:r>
        <w:rPr>
          <w:rFonts w:hint="eastAsia" w:ascii="宋体" w:hAnsi="宋体" w:cs="宋体"/>
          <w:b w:val="0"/>
          <w:bCs w:val="0"/>
          <w:sz w:val="28"/>
          <w:szCs w:val="28"/>
          <w:lang w:eastAsia="zh-CN"/>
        </w:rPr>
        <w:t>供应商</w:t>
      </w:r>
      <w:r>
        <w:rPr>
          <w:rFonts w:hint="eastAsia" w:ascii="宋体" w:hAnsi="宋体" w:cs="宋体"/>
          <w:b w:val="0"/>
          <w:bCs w:val="0"/>
          <w:sz w:val="28"/>
          <w:szCs w:val="28"/>
        </w:rPr>
        <w:t>需支付人员未到位期间由第三方提供运维服务所产生的的费用。若</w:t>
      </w:r>
      <w:r>
        <w:rPr>
          <w:rFonts w:hint="eastAsia" w:ascii="宋体" w:hAnsi="宋体" w:cs="宋体"/>
          <w:color w:val="auto"/>
          <w:sz w:val="28"/>
          <w:szCs w:val="28"/>
          <w:lang w:val="zh-CN"/>
        </w:rPr>
        <w:t>成交</w:t>
      </w:r>
      <w:r>
        <w:rPr>
          <w:rFonts w:hint="eastAsia" w:ascii="宋体" w:hAnsi="宋体" w:cs="宋体"/>
          <w:b w:val="0"/>
          <w:bCs w:val="0"/>
          <w:sz w:val="28"/>
          <w:szCs w:val="28"/>
        </w:rPr>
        <w:t>方和上年度相同，且上年度考核合格，考虑到服务连续性，未经甲方书面同意</w:t>
      </w:r>
      <w:r>
        <w:rPr>
          <w:rFonts w:hint="eastAsia" w:ascii="宋体" w:hAnsi="宋体" w:cs="宋体"/>
          <w:color w:val="auto"/>
          <w:sz w:val="28"/>
          <w:szCs w:val="28"/>
          <w:lang w:val="zh-CN"/>
        </w:rPr>
        <w:t>成交</w:t>
      </w:r>
      <w:r>
        <w:rPr>
          <w:rFonts w:hint="eastAsia" w:ascii="宋体" w:hAnsi="宋体" w:cs="宋体"/>
          <w:b w:val="0"/>
          <w:bCs w:val="0"/>
          <w:sz w:val="28"/>
          <w:szCs w:val="28"/>
        </w:rPr>
        <w:t>方不得更换运维人员。</w:t>
      </w:r>
    </w:p>
    <w:p w14:paraId="0D8D11F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sz w:val="28"/>
          <w:szCs w:val="28"/>
        </w:rPr>
      </w:pPr>
      <w:r>
        <w:rPr>
          <w:rFonts w:hint="eastAsia" w:ascii="宋体" w:hAnsi="宋体" w:cs="宋体"/>
          <w:b w:val="0"/>
          <w:bCs w:val="0"/>
          <w:sz w:val="28"/>
          <w:szCs w:val="28"/>
        </w:rPr>
        <w:t>（2）考核。</w:t>
      </w:r>
      <w:r>
        <w:rPr>
          <w:rFonts w:hint="eastAsia" w:ascii="宋体" w:hAnsi="宋体" w:cs="宋体"/>
          <w:b w:val="0"/>
          <w:bCs w:val="0"/>
          <w:sz w:val="28"/>
          <w:szCs w:val="28"/>
          <w:lang w:eastAsia="zh-CN"/>
        </w:rPr>
        <w:t>采购人</w:t>
      </w:r>
      <w:r>
        <w:rPr>
          <w:rFonts w:hint="eastAsia" w:ascii="宋体" w:hAnsi="宋体" w:cs="宋体"/>
          <w:b w:val="0"/>
          <w:bCs w:val="0"/>
          <w:sz w:val="28"/>
          <w:szCs w:val="28"/>
        </w:rPr>
        <w:t>运维管理部门依据本</w:t>
      </w:r>
      <w:r>
        <w:rPr>
          <w:rFonts w:hint="eastAsia" w:ascii="宋体" w:hAnsi="宋体" w:cs="宋体"/>
          <w:b w:val="0"/>
          <w:bCs w:val="0"/>
          <w:sz w:val="28"/>
          <w:szCs w:val="28"/>
          <w:lang w:eastAsia="zh-CN"/>
        </w:rPr>
        <w:t>采购</w:t>
      </w:r>
      <w:r>
        <w:rPr>
          <w:rFonts w:hint="eastAsia" w:ascii="宋体" w:hAnsi="宋体" w:cs="宋体"/>
          <w:b w:val="0"/>
          <w:bCs w:val="0"/>
          <w:sz w:val="28"/>
          <w:szCs w:val="28"/>
        </w:rPr>
        <w:t>文件约定的服务范围和内容对运维人员进行季度考核，若考核不合格，</w:t>
      </w:r>
      <w:r>
        <w:rPr>
          <w:rFonts w:hint="eastAsia" w:ascii="宋体" w:hAnsi="宋体" w:cs="宋体"/>
          <w:b w:val="0"/>
          <w:bCs w:val="0"/>
          <w:sz w:val="28"/>
          <w:szCs w:val="28"/>
          <w:lang w:eastAsia="zh-CN"/>
        </w:rPr>
        <w:t>供应商</w:t>
      </w:r>
      <w:r>
        <w:rPr>
          <w:rFonts w:hint="eastAsia" w:ascii="宋体" w:hAnsi="宋体" w:cs="宋体"/>
          <w:b w:val="0"/>
          <w:bCs w:val="0"/>
          <w:sz w:val="28"/>
          <w:szCs w:val="28"/>
        </w:rPr>
        <w:t>需在三个工作日内派遣新的运维人员，重新进入上述试用流程。</w:t>
      </w:r>
    </w:p>
    <w:p w14:paraId="3F85E6C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sz w:val="28"/>
          <w:szCs w:val="28"/>
        </w:rPr>
      </w:pPr>
      <w:r>
        <w:rPr>
          <w:rFonts w:hint="eastAsia" w:ascii="宋体" w:hAnsi="宋体" w:cs="宋体"/>
          <w:b w:val="0"/>
          <w:bCs w:val="0"/>
          <w:sz w:val="28"/>
          <w:szCs w:val="28"/>
        </w:rPr>
        <w:t>（3）验收。合同期满时，</w:t>
      </w:r>
      <w:r>
        <w:rPr>
          <w:rFonts w:hint="eastAsia" w:ascii="宋体" w:hAnsi="宋体" w:cs="宋体"/>
          <w:b w:val="0"/>
          <w:bCs w:val="0"/>
          <w:sz w:val="28"/>
          <w:szCs w:val="28"/>
          <w:lang w:eastAsia="zh-CN"/>
        </w:rPr>
        <w:t>采购人</w:t>
      </w:r>
      <w:r>
        <w:rPr>
          <w:rFonts w:hint="eastAsia" w:ascii="宋体" w:hAnsi="宋体" w:cs="宋体"/>
          <w:b w:val="0"/>
          <w:bCs w:val="0"/>
          <w:sz w:val="28"/>
          <w:szCs w:val="28"/>
        </w:rPr>
        <w:t>运维管理部门将进行全年的运维服务和安全服务进行验收。因</w:t>
      </w:r>
      <w:r>
        <w:rPr>
          <w:rFonts w:hint="eastAsia" w:ascii="宋体" w:hAnsi="宋体" w:cs="宋体"/>
          <w:b w:val="0"/>
          <w:bCs w:val="0"/>
          <w:sz w:val="28"/>
          <w:szCs w:val="28"/>
          <w:lang w:eastAsia="zh-CN"/>
        </w:rPr>
        <w:t>供应商</w:t>
      </w:r>
      <w:r>
        <w:rPr>
          <w:rFonts w:hint="eastAsia" w:ascii="宋体" w:hAnsi="宋体" w:cs="宋体"/>
          <w:b w:val="0"/>
          <w:bCs w:val="0"/>
          <w:sz w:val="28"/>
          <w:szCs w:val="28"/>
        </w:rPr>
        <w:t>派驻人员未通过试用导致的人员更替，超过三次后，每增加一次扣除合同总额10%，扣完为止。验收范围还包括但不限于如下事项：投诉率，运维管理部门满意度，升级加固，数据备份，日常监测及巡检，定期工作报告，应急事故响应及处理等内容。</w:t>
      </w:r>
    </w:p>
    <w:p w14:paraId="4334058E">
      <w:pPr>
        <w:spacing w:line="500" w:lineRule="exact"/>
        <w:ind w:firstLine="0"/>
        <w:rPr>
          <w:rFonts w:hint="eastAsia" w:ascii="宋体" w:hAnsi="宋体" w:eastAsia="宋体" w:cs="宋体"/>
          <w:b/>
          <w:bCs/>
          <w:sz w:val="28"/>
          <w:szCs w:val="28"/>
          <w:lang w:eastAsia="zh-CN"/>
        </w:rPr>
      </w:pPr>
      <w:r>
        <w:rPr>
          <w:rFonts w:hint="eastAsia" w:ascii="宋体" w:hAnsi="宋体" w:cs="宋体"/>
          <w:b/>
          <w:bCs/>
          <w:sz w:val="28"/>
          <w:szCs w:val="28"/>
          <w:lang w:eastAsia="zh-CN"/>
        </w:rPr>
        <w:t>三、其他</w:t>
      </w:r>
    </w:p>
    <w:p w14:paraId="1E7A895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sz w:val="28"/>
          <w:szCs w:val="28"/>
        </w:rPr>
      </w:pPr>
      <w:r>
        <w:rPr>
          <w:rFonts w:hint="eastAsia" w:ascii="宋体" w:hAnsi="宋体" w:cs="宋体"/>
          <w:b w:val="0"/>
          <w:bCs w:val="0"/>
          <w:sz w:val="28"/>
          <w:szCs w:val="28"/>
        </w:rPr>
        <w:t>1.本项目供应商报价时需含人工费、设备费、税金等全部费用，包括设备调试费用、人员培训费及提供服务所需设备、配件等设备辅材等一切费用。本项目为固定总价，请</w:t>
      </w:r>
      <w:r>
        <w:rPr>
          <w:rFonts w:hint="eastAsia" w:ascii="宋体" w:hAnsi="宋体" w:cs="宋体"/>
          <w:b w:val="0"/>
          <w:bCs w:val="0"/>
          <w:sz w:val="28"/>
          <w:szCs w:val="28"/>
          <w:lang w:eastAsia="zh-CN"/>
        </w:rPr>
        <w:t>供应商</w:t>
      </w:r>
      <w:r>
        <w:rPr>
          <w:rFonts w:hint="eastAsia" w:ascii="宋体" w:hAnsi="宋体" w:cs="宋体"/>
          <w:b w:val="0"/>
          <w:bCs w:val="0"/>
          <w:sz w:val="28"/>
          <w:szCs w:val="28"/>
        </w:rPr>
        <w:t>认真按照要求报价。因报价和质量原因引起的损失，由</w:t>
      </w:r>
      <w:r>
        <w:rPr>
          <w:rFonts w:hint="eastAsia" w:ascii="宋体" w:hAnsi="宋体" w:cs="宋体"/>
          <w:b w:val="0"/>
          <w:bCs w:val="0"/>
          <w:sz w:val="28"/>
          <w:szCs w:val="28"/>
          <w:lang w:eastAsia="zh-CN"/>
        </w:rPr>
        <w:t>供应商</w:t>
      </w:r>
      <w:r>
        <w:rPr>
          <w:rFonts w:hint="eastAsia" w:ascii="宋体" w:hAnsi="宋体" w:cs="宋体"/>
          <w:b w:val="0"/>
          <w:bCs w:val="0"/>
          <w:sz w:val="28"/>
          <w:szCs w:val="28"/>
        </w:rPr>
        <w:t>自行承担。</w:t>
      </w:r>
    </w:p>
    <w:p w14:paraId="2F3F0898">
      <w:pPr>
        <w:spacing w:line="500" w:lineRule="exact"/>
        <w:ind w:firstLine="0"/>
        <w:rPr>
          <w:rFonts w:hint="eastAsia" w:ascii="宋体" w:hAnsi="宋体" w:cs="宋体"/>
          <w:b/>
          <w:bCs/>
          <w:sz w:val="28"/>
          <w:szCs w:val="28"/>
        </w:rPr>
      </w:pPr>
      <w:r>
        <w:rPr>
          <w:rFonts w:hint="eastAsia" w:ascii="宋体" w:hAnsi="宋体" w:cs="宋体"/>
          <w:b/>
          <w:bCs/>
          <w:sz w:val="28"/>
          <w:szCs w:val="28"/>
        </w:rPr>
        <w:t>四、</w:t>
      </w:r>
      <w:r>
        <w:rPr>
          <w:rFonts w:hint="eastAsia" w:ascii="宋体" w:hAnsi="宋体" w:cs="等线 Light"/>
          <w:b/>
          <w:bCs/>
          <w:sz w:val="28"/>
          <w:szCs w:val="28"/>
        </w:rPr>
        <w:t>付款方式</w:t>
      </w:r>
    </w:p>
    <w:p w14:paraId="663712A6">
      <w:pPr>
        <w:spacing w:line="500" w:lineRule="exact"/>
        <w:ind w:firstLine="560"/>
        <w:rPr>
          <w:rFonts w:hint="eastAsia" w:ascii="宋体" w:hAnsi="宋体" w:cs="等线"/>
          <w:sz w:val="28"/>
          <w:szCs w:val="28"/>
        </w:rPr>
      </w:pPr>
      <w:r>
        <w:rPr>
          <w:rFonts w:hint="eastAsia" w:ascii="宋体" w:hAnsi="宋体" w:cs="等线"/>
          <w:sz w:val="28"/>
          <w:szCs w:val="28"/>
        </w:rPr>
        <w:t>（1）合同签订之日起半年后支付合同总额的50%，合同期满后支付剩余的50%。</w:t>
      </w:r>
    </w:p>
    <w:p w14:paraId="7DACF1BD">
      <w:pPr>
        <w:pStyle w:val="44"/>
        <w:ind w:firstLine="700"/>
        <w:rPr>
          <w:rFonts w:hint="eastAsia" w:ascii="宋体" w:hAnsi="宋体" w:cs="等线"/>
          <w:sz w:val="28"/>
          <w:szCs w:val="28"/>
        </w:rPr>
      </w:pPr>
      <w:r>
        <w:rPr>
          <w:rFonts w:hint="eastAsia" w:ascii="宋体" w:hAnsi="宋体" w:cs="等线"/>
          <w:sz w:val="28"/>
          <w:szCs w:val="28"/>
          <w:lang w:eastAsia="zh-CN"/>
        </w:rPr>
        <w:t>（</w:t>
      </w:r>
      <w:r>
        <w:rPr>
          <w:rFonts w:hint="eastAsia" w:ascii="宋体" w:hAnsi="宋体" w:cs="等线"/>
          <w:sz w:val="28"/>
          <w:szCs w:val="28"/>
          <w:lang w:val="en-US" w:eastAsia="zh-CN"/>
        </w:rPr>
        <w:t>2</w:t>
      </w:r>
      <w:r>
        <w:rPr>
          <w:rFonts w:hint="eastAsia" w:ascii="宋体" w:hAnsi="宋体" w:cs="等线"/>
          <w:sz w:val="28"/>
          <w:szCs w:val="28"/>
          <w:lang w:eastAsia="zh-CN"/>
        </w:rPr>
        <w:t>）</w:t>
      </w:r>
      <w:r>
        <w:rPr>
          <w:rFonts w:hint="eastAsia" w:ascii="宋体" w:hAnsi="宋体" w:cs="等线"/>
          <w:sz w:val="28"/>
          <w:szCs w:val="28"/>
        </w:rPr>
        <w:t>每次付款乙方须开具等额增值税发票交甲方财务入账为必要条件。</w:t>
      </w:r>
    </w:p>
    <w:p w14:paraId="2166E3DE">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eastAsia="宋体" w:cs="宋体"/>
          <w:color w:val="FF0000"/>
          <w:sz w:val="28"/>
          <w:szCs w:val="28"/>
          <w:lang w:val="en-US" w:eastAsia="zh-CN"/>
        </w:rPr>
      </w:pPr>
    </w:p>
    <w:p w14:paraId="6B48E601">
      <w:pPr>
        <w:spacing w:line="460" w:lineRule="exact"/>
        <w:jc w:val="center"/>
        <w:rPr>
          <w:rFonts w:hint="eastAsia" w:ascii="宋体" w:hAnsi="宋体" w:cs="宋体"/>
          <w:b/>
          <w:color w:val="auto"/>
          <w:sz w:val="32"/>
          <w:szCs w:val="32"/>
        </w:rPr>
      </w:pPr>
      <w:r>
        <w:rPr>
          <w:bCs/>
          <w:color w:val="auto"/>
        </w:rPr>
        <w:br w:type="page"/>
      </w:r>
      <w:r>
        <w:rPr>
          <w:rFonts w:hint="eastAsia" w:ascii="宋体" w:hAnsi="宋体" w:cs="宋体"/>
          <w:bCs/>
          <w:color w:val="auto"/>
          <w:sz w:val="36"/>
          <w:szCs w:val="36"/>
        </w:rPr>
        <w:t>第四部分 评审方法和评审标准</w:t>
      </w:r>
    </w:p>
    <w:p w14:paraId="7D61E563">
      <w:pPr>
        <w:adjustRightInd w:val="0"/>
        <w:snapToGrid w:val="0"/>
        <w:spacing w:line="460" w:lineRule="exact"/>
        <w:ind w:firstLine="562" w:firstLineChars="200"/>
        <w:jc w:val="left"/>
        <w:textAlignment w:val="baseline"/>
        <w:outlineLvl w:val="1"/>
        <w:rPr>
          <w:rFonts w:hint="eastAsia" w:ascii="宋体" w:hAnsi="宋体" w:cs="宋体"/>
          <w:b/>
          <w:color w:val="auto"/>
          <w:sz w:val="28"/>
          <w:szCs w:val="28"/>
        </w:rPr>
      </w:pPr>
      <w:r>
        <w:rPr>
          <w:rFonts w:hint="eastAsia" w:ascii="宋体" w:hAnsi="宋体" w:cs="宋体"/>
          <w:b/>
          <w:color w:val="auto"/>
          <w:sz w:val="28"/>
          <w:szCs w:val="28"/>
        </w:rPr>
        <w:t>一、</w:t>
      </w:r>
      <w:r>
        <w:rPr>
          <w:rFonts w:hint="eastAsia" w:ascii="宋体" w:hAnsi="宋体" w:cs="宋体"/>
          <w:bCs/>
          <w:color w:val="auto"/>
          <w:sz w:val="28"/>
          <w:szCs w:val="28"/>
        </w:rPr>
        <w:t>磋商方式</w:t>
      </w:r>
    </w:p>
    <w:p w14:paraId="0AC8BA22">
      <w:pPr>
        <w:tabs>
          <w:tab w:val="left" w:pos="3585"/>
        </w:tabs>
        <w:adjustRightInd w:val="0"/>
        <w:snapToGrid w:val="0"/>
        <w:spacing w:line="460" w:lineRule="exact"/>
        <w:ind w:firstLine="537" w:firstLineChars="192"/>
        <w:rPr>
          <w:rFonts w:hint="eastAsia" w:ascii="宋体" w:hAnsi="宋体" w:cs="宋体"/>
          <w:color w:val="auto"/>
          <w:sz w:val="28"/>
          <w:szCs w:val="28"/>
        </w:rPr>
      </w:pPr>
      <w:r>
        <w:rPr>
          <w:rFonts w:hint="eastAsia" w:ascii="宋体" w:hAnsi="宋体" w:cs="宋体"/>
          <w:color w:val="auto"/>
          <w:sz w:val="28"/>
          <w:szCs w:val="28"/>
        </w:rPr>
        <w:t>见面磋商模式：供应商在采购文件规定的时间和地点参加磋商活动。</w:t>
      </w:r>
    </w:p>
    <w:p w14:paraId="5DA3705C">
      <w:pPr>
        <w:adjustRightInd w:val="0"/>
        <w:snapToGrid w:val="0"/>
        <w:spacing w:line="460" w:lineRule="exact"/>
        <w:ind w:firstLine="562" w:firstLineChars="200"/>
        <w:jc w:val="left"/>
        <w:textAlignment w:val="baseline"/>
        <w:outlineLvl w:val="1"/>
        <w:rPr>
          <w:rFonts w:hint="eastAsia" w:ascii="宋体" w:hAnsi="宋体" w:cs="宋体"/>
          <w:color w:val="auto"/>
          <w:sz w:val="28"/>
          <w:szCs w:val="28"/>
        </w:rPr>
      </w:pPr>
      <w:r>
        <w:rPr>
          <w:rFonts w:hint="eastAsia" w:ascii="宋体" w:hAnsi="宋体" w:cs="宋体"/>
          <w:b/>
          <w:color w:val="auto"/>
          <w:sz w:val="28"/>
          <w:szCs w:val="28"/>
        </w:rPr>
        <w:t>二、</w:t>
      </w:r>
      <w:r>
        <w:rPr>
          <w:rFonts w:hint="eastAsia" w:ascii="宋体" w:hAnsi="宋体" w:cs="宋体"/>
          <w:color w:val="auto"/>
          <w:sz w:val="28"/>
          <w:szCs w:val="28"/>
        </w:rPr>
        <w:t>磋商程序及评审方法和标准</w:t>
      </w:r>
    </w:p>
    <w:p w14:paraId="0EB234A0">
      <w:pPr>
        <w:adjustRightInd w:val="0"/>
        <w:snapToGrid w:val="0"/>
        <w:spacing w:line="460" w:lineRule="exact"/>
        <w:ind w:firstLine="691" w:firstLineChars="247"/>
        <w:rPr>
          <w:rFonts w:hint="eastAsia" w:ascii="宋体" w:hAnsi="宋体" w:cs="宋体"/>
          <w:bCs/>
          <w:color w:val="auto"/>
          <w:sz w:val="28"/>
          <w:szCs w:val="28"/>
        </w:rPr>
      </w:pPr>
      <w:r>
        <w:rPr>
          <w:rFonts w:hint="eastAsia" w:ascii="宋体" w:hAnsi="宋体" w:cs="宋体"/>
          <w:bCs/>
          <w:color w:val="auto"/>
          <w:sz w:val="28"/>
          <w:szCs w:val="28"/>
        </w:rPr>
        <w:t>1.评审方法：综合评分法，经磋商确定最终采购需求和提交最后报价的供应商后，由磋商小组采用综合评分法对提交最后报价的供应商的响应文件和最后报价进行综合评分。</w:t>
      </w:r>
    </w:p>
    <w:p w14:paraId="3FA79EA1">
      <w:pPr>
        <w:adjustRightInd w:val="0"/>
        <w:snapToGrid w:val="0"/>
        <w:spacing w:line="460" w:lineRule="exact"/>
        <w:ind w:firstLine="700" w:firstLineChars="250"/>
        <w:rPr>
          <w:rFonts w:hint="eastAsia" w:ascii="宋体" w:hAnsi="宋体" w:cs="宋体"/>
          <w:bCs/>
          <w:color w:val="auto"/>
          <w:sz w:val="28"/>
          <w:szCs w:val="28"/>
        </w:rPr>
      </w:pPr>
      <w:r>
        <w:rPr>
          <w:rFonts w:hint="eastAsia" w:ascii="宋体" w:hAnsi="宋体" w:cs="宋体"/>
          <w:bCs/>
          <w:color w:val="auto"/>
          <w:sz w:val="28"/>
          <w:szCs w:val="28"/>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26E3E11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商务技术部分评审结束后进入最后报价环节，最后报价将作为评审价。代理机构发送最后报价填报通知后，所有的响应供应商须在15分钟内填写并提交最后报价，未在规定时间内提交最后报价的，视作无效响应处理。</w:t>
      </w:r>
    </w:p>
    <w:p w14:paraId="0A076980">
      <w:pPr>
        <w:adjustRightInd w:val="0"/>
        <w:snapToGrid w:val="0"/>
        <w:spacing w:line="460" w:lineRule="exact"/>
        <w:ind w:firstLine="555"/>
        <w:rPr>
          <w:rFonts w:hint="eastAsia" w:ascii="宋体" w:hAnsi="宋体" w:cs="宋体"/>
          <w:color w:val="auto"/>
          <w:sz w:val="28"/>
          <w:szCs w:val="28"/>
        </w:rPr>
      </w:pPr>
      <w:r>
        <w:rPr>
          <w:rFonts w:hint="eastAsia" w:ascii="宋体" w:hAnsi="宋体" w:cs="宋体"/>
          <w:color w:val="auto"/>
          <w:sz w:val="28"/>
          <w:szCs w:val="28"/>
        </w:rPr>
        <w:t>供应商商务、技术部分和价格部分的合计分值，为该供应商的评审总得分。</w:t>
      </w:r>
    </w:p>
    <w:p w14:paraId="21AC2E64">
      <w:pPr>
        <w:adjustRightInd w:val="0"/>
        <w:snapToGrid w:val="0"/>
        <w:spacing w:line="460" w:lineRule="exact"/>
        <w:ind w:firstLine="555"/>
        <w:rPr>
          <w:rFonts w:hint="eastAsia" w:ascii="宋体" w:hAnsi="宋体" w:cs="宋体"/>
          <w:color w:val="auto"/>
          <w:sz w:val="28"/>
          <w:szCs w:val="28"/>
        </w:rPr>
      </w:pPr>
      <w:r>
        <w:rPr>
          <w:rFonts w:hint="eastAsia" w:ascii="宋体" w:hAnsi="宋体" w:cs="宋体"/>
          <w:color w:val="auto"/>
          <w:sz w:val="28"/>
          <w:szCs w:val="28"/>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555B238C">
      <w:pPr>
        <w:adjustRightInd w:val="0"/>
        <w:snapToGrid w:val="0"/>
        <w:spacing w:line="460" w:lineRule="exact"/>
        <w:ind w:firstLine="555"/>
        <w:rPr>
          <w:rFonts w:hint="eastAsia" w:ascii="宋体" w:hAnsi="宋体" w:cs="宋体"/>
          <w:color w:val="auto"/>
          <w:sz w:val="28"/>
          <w:szCs w:val="28"/>
        </w:rPr>
      </w:pPr>
      <w:r>
        <w:rPr>
          <w:rFonts w:hint="eastAsia" w:ascii="宋体" w:hAnsi="宋体" w:cs="宋体"/>
          <w:color w:val="auto"/>
          <w:sz w:val="28"/>
          <w:szCs w:val="28"/>
        </w:rPr>
        <w:t>评委在认真审阅响应文件的基础上，根据各响应文件的响应程度独立评判，不得统一打分。</w:t>
      </w:r>
    </w:p>
    <w:p w14:paraId="4A24098B">
      <w:pPr>
        <w:adjustRightInd w:val="0"/>
        <w:snapToGrid w:val="0"/>
        <w:spacing w:line="460" w:lineRule="exact"/>
        <w:ind w:firstLine="555"/>
        <w:rPr>
          <w:rFonts w:hint="eastAsia" w:ascii="宋体" w:hAnsi="宋体" w:cs="宋体"/>
          <w:color w:val="auto"/>
          <w:sz w:val="28"/>
          <w:szCs w:val="28"/>
        </w:rPr>
      </w:pPr>
      <w:r>
        <w:rPr>
          <w:rFonts w:hint="eastAsia" w:ascii="宋体" w:hAnsi="宋体" w:cs="宋体"/>
          <w:color w:val="auto"/>
          <w:sz w:val="28"/>
          <w:szCs w:val="28"/>
        </w:rPr>
        <w:t>技术商务部分评审结束后，再开启最后报价计算分值。总分值为100分，加分和减分因素除外。</w:t>
      </w:r>
    </w:p>
    <w:p w14:paraId="3D988A15">
      <w:pPr>
        <w:adjustRightInd w:val="0"/>
        <w:snapToGrid w:val="0"/>
        <w:spacing w:line="460" w:lineRule="exact"/>
        <w:ind w:firstLine="579" w:firstLineChars="206"/>
        <w:outlineLvl w:val="2"/>
        <w:rPr>
          <w:rFonts w:hint="eastAsia" w:ascii="宋体" w:hAnsi="宋体" w:cs="宋体"/>
          <w:b/>
          <w:color w:val="auto"/>
          <w:sz w:val="28"/>
          <w:szCs w:val="28"/>
        </w:rPr>
      </w:pPr>
      <w:r>
        <w:rPr>
          <w:rFonts w:hint="eastAsia" w:ascii="宋体" w:hAnsi="宋体" w:cs="宋体"/>
          <w:b/>
          <w:color w:val="auto"/>
          <w:sz w:val="28"/>
          <w:szCs w:val="28"/>
        </w:rPr>
        <w:t>（一）采购人（代表）对供应商资格进行审查。</w:t>
      </w:r>
    </w:p>
    <w:p w14:paraId="5BC4B41B">
      <w:pPr>
        <w:adjustRightInd w:val="0"/>
        <w:snapToGrid w:val="0"/>
        <w:spacing w:line="460" w:lineRule="exact"/>
        <w:ind w:firstLine="576" w:firstLineChars="206"/>
        <w:rPr>
          <w:rFonts w:hint="eastAsia" w:ascii="宋体" w:hAnsi="宋体" w:cs="宋体"/>
          <w:color w:val="auto"/>
          <w:kern w:val="0"/>
          <w:sz w:val="28"/>
          <w:szCs w:val="28"/>
        </w:rPr>
      </w:pPr>
      <w:r>
        <w:rPr>
          <w:rFonts w:hint="eastAsia" w:ascii="宋体" w:hAnsi="宋体" w:cs="宋体"/>
          <w:color w:val="auto"/>
          <w:kern w:val="0"/>
          <w:sz w:val="28"/>
          <w:szCs w:val="28"/>
        </w:rPr>
        <w:t>供应商资格不合格的，其响应文件判定为无效响应文件。</w:t>
      </w:r>
    </w:p>
    <w:p w14:paraId="342B85C0">
      <w:pPr>
        <w:adjustRightInd w:val="0"/>
        <w:snapToGrid w:val="0"/>
        <w:spacing w:line="460" w:lineRule="exact"/>
        <w:ind w:firstLine="579" w:firstLineChars="206"/>
        <w:outlineLvl w:val="2"/>
        <w:rPr>
          <w:rFonts w:hint="eastAsia" w:ascii="宋体" w:hAnsi="宋体" w:cs="宋体"/>
          <w:b/>
          <w:color w:val="auto"/>
          <w:sz w:val="28"/>
          <w:szCs w:val="28"/>
        </w:rPr>
      </w:pPr>
      <w:r>
        <w:rPr>
          <w:rFonts w:hint="eastAsia" w:ascii="宋体" w:hAnsi="宋体" w:cs="宋体"/>
          <w:b/>
          <w:color w:val="auto"/>
          <w:sz w:val="28"/>
          <w:szCs w:val="28"/>
        </w:rPr>
        <w:t>（二）磋商小组对符合资格供应商的响应文件进行符合性审查。</w:t>
      </w:r>
    </w:p>
    <w:p w14:paraId="7D50972D">
      <w:pPr>
        <w:adjustRightInd w:val="0"/>
        <w:snapToGrid w:val="0"/>
        <w:spacing w:line="460" w:lineRule="exact"/>
        <w:ind w:firstLine="576" w:firstLineChars="206"/>
        <w:rPr>
          <w:rFonts w:hint="eastAsia" w:ascii="宋体" w:hAnsi="宋体" w:cs="宋体"/>
          <w:color w:val="auto"/>
          <w:kern w:val="0"/>
          <w:sz w:val="28"/>
          <w:szCs w:val="28"/>
        </w:rPr>
      </w:pPr>
      <w:r>
        <w:rPr>
          <w:rFonts w:hint="eastAsia" w:ascii="宋体" w:hAnsi="宋体" w:cs="宋体"/>
          <w:color w:val="auto"/>
          <w:kern w:val="0"/>
          <w:sz w:val="28"/>
          <w:szCs w:val="28"/>
        </w:rPr>
        <w:t xml:space="preserve">未通过符合性审查的响应文件，将被判为不满足磋商文件实质性要求。 </w:t>
      </w:r>
    </w:p>
    <w:p w14:paraId="4009C182">
      <w:pPr>
        <w:adjustRightInd w:val="0"/>
        <w:snapToGrid w:val="0"/>
        <w:spacing w:line="460" w:lineRule="exact"/>
        <w:ind w:firstLine="562" w:firstLineChars="200"/>
        <w:jc w:val="left"/>
        <w:outlineLvl w:val="2"/>
        <w:rPr>
          <w:rFonts w:hint="eastAsia" w:ascii="宋体" w:hAnsi="宋体" w:cs="宋体"/>
          <w:b/>
          <w:bCs/>
          <w:color w:val="auto"/>
          <w:sz w:val="28"/>
          <w:szCs w:val="28"/>
          <w:lang w:val="zh-CN"/>
        </w:rPr>
      </w:pPr>
      <w:r>
        <w:rPr>
          <w:rFonts w:hint="eastAsia" w:ascii="宋体" w:hAnsi="宋体" w:cs="宋体"/>
          <w:b/>
          <w:bCs/>
          <w:color w:val="auto"/>
          <w:sz w:val="28"/>
          <w:szCs w:val="28"/>
          <w:lang w:val="zh-CN"/>
        </w:rPr>
        <w:t>（三）商务技术分：</w:t>
      </w:r>
      <w:r>
        <w:rPr>
          <w:rFonts w:hint="eastAsia" w:ascii="宋体" w:hAnsi="宋体" w:cs="宋体"/>
          <w:b/>
          <w:bCs/>
          <w:color w:val="auto"/>
          <w:sz w:val="28"/>
          <w:szCs w:val="28"/>
          <w:lang w:val="en-US" w:eastAsia="zh-CN"/>
        </w:rPr>
        <w:t>70</w:t>
      </w:r>
      <w:r>
        <w:rPr>
          <w:rFonts w:hint="eastAsia" w:ascii="宋体" w:hAnsi="宋体" w:cs="宋体"/>
          <w:b/>
          <w:bCs/>
          <w:color w:val="auto"/>
          <w:sz w:val="28"/>
          <w:szCs w:val="28"/>
          <w:lang w:val="zh-CN"/>
        </w:rPr>
        <w:t>分</w:t>
      </w:r>
    </w:p>
    <w:p w14:paraId="3D25FFCB">
      <w:pPr>
        <w:adjustRightInd w:val="0"/>
        <w:snapToGrid w:val="0"/>
        <w:spacing w:line="460" w:lineRule="exact"/>
        <w:ind w:firstLine="700" w:firstLineChars="250"/>
        <w:jc w:val="left"/>
        <w:rPr>
          <w:rFonts w:hint="eastAsia" w:ascii="宋体" w:hAnsi="宋体" w:cs="宋体"/>
          <w:color w:val="auto"/>
          <w:sz w:val="28"/>
          <w:szCs w:val="28"/>
        </w:rPr>
      </w:pPr>
      <w:r>
        <w:rPr>
          <w:rFonts w:hint="eastAsia" w:ascii="宋体" w:hAnsi="宋体" w:cs="宋体"/>
          <w:color w:val="auto"/>
          <w:sz w:val="28"/>
          <w:szCs w:val="28"/>
        </w:rPr>
        <w:t>各供应商得分为磋商小组成员评分的算术平均分，分值保留小数点后两位。</w:t>
      </w:r>
    </w:p>
    <w:tbl>
      <w:tblPr>
        <w:tblStyle w:val="2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951"/>
        <w:gridCol w:w="575"/>
        <w:gridCol w:w="6452"/>
      </w:tblGrid>
      <w:tr w14:paraId="6FE7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Align w:val="center"/>
          </w:tcPr>
          <w:p w14:paraId="2EAEF08B">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 xml:space="preserve">序号 </w:t>
            </w:r>
          </w:p>
        </w:tc>
        <w:tc>
          <w:tcPr>
            <w:tcW w:w="559" w:type="pct"/>
            <w:vAlign w:val="center"/>
          </w:tcPr>
          <w:p w14:paraId="084EBE92">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 xml:space="preserve">评分点名称 </w:t>
            </w:r>
          </w:p>
        </w:tc>
        <w:tc>
          <w:tcPr>
            <w:tcW w:w="338" w:type="pct"/>
            <w:vAlign w:val="center"/>
          </w:tcPr>
          <w:p w14:paraId="4FF191BF">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分值</w:t>
            </w:r>
          </w:p>
        </w:tc>
        <w:tc>
          <w:tcPr>
            <w:tcW w:w="3788" w:type="pct"/>
            <w:vAlign w:val="center"/>
          </w:tcPr>
          <w:p w14:paraId="01713AC3">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评审标准</w:t>
            </w:r>
          </w:p>
        </w:tc>
      </w:tr>
      <w:tr w14:paraId="0E7B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Merge w:val="restart"/>
            <w:vAlign w:val="center"/>
          </w:tcPr>
          <w:p w14:paraId="2F87B87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559" w:type="pct"/>
            <w:vMerge w:val="restart"/>
            <w:vAlign w:val="center"/>
          </w:tcPr>
          <w:p w14:paraId="04BC2DE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企业综合能力</w:t>
            </w:r>
          </w:p>
        </w:tc>
        <w:tc>
          <w:tcPr>
            <w:tcW w:w="338" w:type="pct"/>
            <w:vMerge w:val="restart"/>
            <w:vAlign w:val="center"/>
          </w:tcPr>
          <w:p w14:paraId="4239E91C">
            <w:pPr>
              <w:widowControl/>
              <w:jc w:val="center"/>
              <w:rPr>
                <w:rFonts w:ascii="仿宋" w:hAnsi="仿宋" w:eastAsia="仿宋" w:cs="宋体"/>
                <w:color w:val="000000"/>
                <w:kern w:val="0"/>
                <w:sz w:val="24"/>
              </w:rPr>
            </w:pPr>
            <w:r>
              <w:rPr>
                <w:rFonts w:hint="eastAsia" w:ascii="仿宋" w:hAnsi="仿宋" w:eastAsia="仿宋" w:cs="宋体"/>
                <w:color w:val="000000"/>
                <w:kern w:val="0"/>
                <w:sz w:val="24"/>
                <w:szCs w:val="24"/>
              </w:rPr>
              <w:t>32</w:t>
            </w:r>
          </w:p>
        </w:tc>
        <w:tc>
          <w:tcPr>
            <w:tcW w:w="3788" w:type="pct"/>
            <w:vAlign w:val="center"/>
          </w:tcPr>
          <w:p w14:paraId="42B0AA1E">
            <w:pPr>
              <w:widowControl/>
              <w:rPr>
                <w:rFonts w:ascii="仿宋" w:hAnsi="仿宋" w:eastAsia="仿宋" w:cs="宋体"/>
                <w:kern w:val="0"/>
                <w:sz w:val="24"/>
              </w:rPr>
            </w:pPr>
            <w:r>
              <w:rPr>
                <w:rFonts w:hint="eastAsia" w:ascii="仿宋" w:hAnsi="仿宋" w:eastAsia="仿宋" w:cs="宋体"/>
                <w:kern w:val="0"/>
                <w:sz w:val="24"/>
              </w:rPr>
              <w:t>供应商通过ISO9001质量管理体系认证、ISO27001信息安全管理体系认证、ISO20000信息技术服务管理体系认证证书，有一个得2分，最多得6分。（</w:t>
            </w:r>
            <w:r>
              <w:rPr>
                <w:rFonts w:hint="eastAsia" w:ascii="仿宋" w:hAnsi="仿宋" w:eastAsia="仿宋" w:cs="宋体"/>
                <w:sz w:val="24"/>
                <w:szCs w:val="24"/>
              </w:rPr>
              <w:t>提供证书复印件加盖公章</w:t>
            </w:r>
            <w:r>
              <w:rPr>
                <w:rFonts w:hint="eastAsia" w:ascii="仿宋" w:hAnsi="仿宋" w:eastAsia="仿宋" w:cs="宋体"/>
                <w:kern w:val="0"/>
                <w:sz w:val="24"/>
              </w:rPr>
              <w:t>）</w:t>
            </w:r>
          </w:p>
        </w:tc>
      </w:tr>
      <w:tr w14:paraId="5E00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Merge w:val="continue"/>
            <w:vAlign w:val="center"/>
          </w:tcPr>
          <w:p w14:paraId="242DB14A">
            <w:pPr>
              <w:widowControl/>
              <w:jc w:val="center"/>
              <w:rPr>
                <w:rFonts w:ascii="仿宋" w:hAnsi="仿宋" w:eastAsia="仿宋" w:cs="宋体"/>
                <w:color w:val="000000"/>
                <w:kern w:val="0"/>
                <w:sz w:val="24"/>
              </w:rPr>
            </w:pPr>
          </w:p>
        </w:tc>
        <w:tc>
          <w:tcPr>
            <w:tcW w:w="559" w:type="pct"/>
            <w:vMerge w:val="continue"/>
            <w:vAlign w:val="center"/>
          </w:tcPr>
          <w:p w14:paraId="07F73602">
            <w:pPr>
              <w:widowControl/>
              <w:jc w:val="center"/>
              <w:rPr>
                <w:rFonts w:ascii="仿宋" w:hAnsi="仿宋" w:eastAsia="仿宋" w:cs="宋体"/>
                <w:color w:val="000000"/>
                <w:kern w:val="0"/>
                <w:sz w:val="24"/>
              </w:rPr>
            </w:pPr>
          </w:p>
        </w:tc>
        <w:tc>
          <w:tcPr>
            <w:tcW w:w="338" w:type="pct"/>
            <w:vMerge w:val="continue"/>
            <w:vAlign w:val="center"/>
          </w:tcPr>
          <w:p w14:paraId="31DFA133">
            <w:pPr>
              <w:widowControl/>
              <w:jc w:val="center"/>
              <w:rPr>
                <w:rFonts w:ascii="仿宋" w:hAnsi="仿宋" w:eastAsia="仿宋" w:cs="宋体"/>
                <w:color w:val="000000"/>
                <w:kern w:val="0"/>
                <w:sz w:val="24"/>
              </w:rPr>
            </w:pPr>
          </w:p>
        </w:tc>
        <w:tc>
          <w:tcPr>
            <w:tcW w:w="3788" w:type="pct"/>
            <w:vAlign w:val="center"/>
          </w:tcPr>
          <w:p w14:paraId="6B37FD63">
            <w:pPr>
              <w:widowControl/>
              <w:rPr>
                <w:rFonts w:ascii="仿宋" w:hAnsi="仿宋" w:eastAsia="仿宋" w:cs="宋体"/>
                <w:kern w:val="0"/>
                <w:sz w:val="24"/>
              </w:rPr>
            </w:pPr>
            <w:r>
              <w:rPr>
                <w:rFonts w:hint="eastAsia" w:ascii="仿宋" w:hAnsi="仿宋" w:eastAsia="仿宋" w:cs="宋体"/>
                <w:kern w:val="0"/>
                <w:sz w:val="24"/>
              </w:rPr>
              <w:t>供应商具备CS信息系统建设和服务能力证书一级得2分，二级及以上得4分，没有不得分（提供证书复印件加盖公章）</w:t>
            </w:r>
          </w:p>
        </w:tc>
      </w:tr>
      <w:tr w14:paraId="222E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Merge w:val="continue"/>
            <w:vAlign w:val="center"/>
          </w:tcPr>
          <w:p w14:paraId="5BEC7ACD">
            <w:pPr>
              <w:widowControl/>
              <w:jc w:val="center"/>
              <w:rPr>
                <w:rFonts w:ascii="仿宋" w:hAnsi="仿宋" w:eastAsia="仿宋" w:cs="宋体"/>
                <w:color w:val="000000"/>
                <w:kern w:val="0"/>
                <w:sz w:val="24"/>
              </w:rPr>
            </w:pPr>
          </w:p>
        </w:tc>
        <w:tc>
          <w:tcPr>
            <w:tcW w:w="559" w:type="pct"/>
            <w:vMerge w:val="continue"/>
            <w:vAlign w:val="center"/>
          </w:tcPr>
          <w:p w14:paraId="1A2FE9C9">
            <w:pPr>
              <w:widowControl/>
              <w:jc w:val="center"/>
              <w:rPr>
                <w:rFonts w:ascii="仿宋" w:hAnsi="仿宋" w:eastAsia="仿宋" w:cs="宋体"/>
                <w:color w:val="000000"/>
                <w:kern w:val="0"/>
                <w:sz w:val="24"/>
              </w:rPr>
            </w:pPr>
          </w:p>
        </w:tc>
        <w:tc>
          <w:tcPr>
            <w:tcW w:w="338" w:type="pct"/>
            <w:vMerge w:val="continue"/>
            <w:vAlign w:val="center"/>
          </w:tcPr>
          <w:p w14:paraId="3B28794B">
            <w:pPr>
              <w:widowControl/>
              <w:jc w:val="center"/>
              <w:rPr>
                <w:rFonts w:ascii="仿宋" w:hAnsi="仿宋" w:eastAsia="仿宋" w:cs="宋体"/>
                <w:color w:val="000000"/>
                <w:kern w:val="0"/>
                <w:sz w:val="24"/>
              </w:rPr>
            </w:pPr>
          </w:p>
        </w:tc>
        <w:tc>
          <w:tcPr>
            <w:tcW w:w="3788" w:type="pct"/>
            <w:vAlign w:val="center"/>
          </w:tcPr>
          <w:p w14:paraId="1AC211B5">
            <w:pPr>
              <w:widowControl/>
              <w:rPr>
                <w:rFonts w:ascii="仿宋" w:hAnsi="仿宋" w:eastAsia="仿宋" w:cs="宋体"/>
                <w:kern w:val="0"/>
                <w:sz w:val="24"/>
              </w:rPr>
            </w:pPr>
            <w:r>
              <w:rPr>
                <w:rFonts w:hint="eastAsia" w:ascii="仿宋" w:hAnsi="仿宋" w:eastAsia="仿宋" w:cs="宋体"/>
                <w:kern w:val="0"/>
                <w:sz w:val="24"/>
              </w:rPr>
              <w:t>供应商</w:t>
            </w:r>
            <w:r>
              <w:rPr>
                <w:rFonts w:hint="eastAsia" w:ascii="仿宋" w:hAnsi="仿宋" w:eastAsia="仿宋" w:cs="宋体"/>
                <w:sz w:val="24"/>
                <w:szCs w:val="24"/>
              </w:rPr>
              <w:t>具备</w:t>
            </w:r>
            <w:bookmarkStart w:id="87" w:name="OLE_LINK1"/>
            <w:r>
              <w:rPr>
                <w:rFonts w:hint="eastAsia" w:ascii="仿宋" w:hAnsi="仿宋" w:eastAsia="仿宋" w:cs="宋体"/>
                <w:sz w:val="24"/>
                <w:szCs w:val="24"/>
              </w:rPr>
              <w:t>CCRC信息安全风险评估服务资质</w:t>
            </w:r>
            <w:bookmarkEnd w:id="87"/>
            <w:r>
              <w:rPr>
                <w:rFonts w:hint="eastAsia" w:ascii="仿宋" w:hAnsi="仿宋" w:eastAsia="仿宋" w:cs="宋体"/>
                <w:sz w:val="24"/>
                <w:szCs w:val="24"/>
              </w:rPr>
              <w:t>三级得2分，二级及以上得4分，没有不得分（提供证书复印件加盖公章）</w:t>
            </w:r>
          </w:p>
        </w:tc>
      </w:tr>
      <w:tr w14:paraId="5120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Merge w:val="continue"/>
            <w:vAlign w:val="center"/>
          </w:tcPr>
          <w:p w14:paraId="5C274DF2">
            <w:pPr>
              <w:widowControl/>
              <w:jc w:val="center"/>
              <w:rPr>
                <w:rFonts w:ascii="仿宋" w:hAnsi="仿宋" w:eastAsia="仿宋" w:cs="宋体"/>
                <w:color w:val="000000"/>
                <w:kern w:val="0"/>
                <w:sz w:val="24"/>
              </w:rPr>
            </w:pPr>
          </w:p>
        </w:tc>
        <w:tc>
          <w:tcPr>
            <w:tcW w:w="559" w:type="pct"/>
            <w:vMerge w:val="continue"/>
            <w:vAlign w:val="center"/>
          </w:tcPr>
          <w:p w14:paraId="6AE6273C">
            <w:pPr>
              <w:widowControl/>
              <w:jc w:val="center"/>
              <w:rPr>
                <w:rFonts w:ascii="仿宋" w:hAnsi="仿宋" w:eastAsia="仿宋" w:cs="宋体"/>
                <w:color w:val="000000"/>
                <w:kern w:val="0"/>
                <w:sz w:val="24"/>
              </w:rPr>
            </w:pPr>
          </w:p>
        </w:tc>
        <w:tc>
          <w:tcPr>
            <w:tcW w:w="338" w:type="pct"/>
            <w:vMerge w:val="continue"/>
            <w:vAlign w:val="center"/>
          </w:tcPr>
          <w:p w14:paraId="1A7C1F56">
            <w:pPr>
              <w:widowControl/>
              <w:jc w:val="center"/>
              <w:rPr>
                <w:rFonts w:ascii="仿宋" w:hAnsi="仿宋" w:eastAsia="仿宋" w:cs="宋体"/>
                <w:color w:val="000000"/>
                <w:kern w:val="0"/>
                <w:sz w:val="24"/>
              </w:rPr>
            </w:pPr>
          </w:p>
        </w:tc>
        <w:tc>
          <w:tcPr>
            <w:tcW w:w="3788" w:type="pct"/>
            <w:vAlign w:val="center"/>
          </w:tcPr>
          <w:p w14:paraId="26CAE782">
            <w:pPr>
              <w:widowControl/>
              <w:rPr>
                <w:rFonts w:ascii="仿宋" w:hAnsi="仿宋" w:eastAsia="仿宋" w:cs="宋体"/>
                <w:kern w:val="0"/>
                <w:sz w:val="24"/>
              </w:rPr>
            </w:pPr>
            <w:r>
              <w:rPr>
                <w:rFonts w:hint="eastAsia" w:ascii="仿宋" w:hAnsi="仿宋" w:eastAsia="仿宋" w:cs="宋体"/>
                <w:sz w:val="24"/>
                <w:szCs w:val="24"/>
              </w:rPr>
              <w:t>供应商近两年是市级网络安全支撑单位的得2分，是省级</w:t>
            </w:r>
            <w:r>
              <w:rPr>
                <w:rFonts w:hint="eastAsia" w:ascii="仿宋" w:hAnsi="仿宋" w:eastAsia="仿宋" w:cs="宋体"/>
                <w:color w:val="558ED5" w:themeColor="text2" w:themeTint="99"/>
                <w:sz w:val="24"/>
                <w:szCs w:val="24"/>
                <w:lang w:val="en-US" w:eastAsia="zh-CN"/>
                <w14:textFill>
                  <w14:solidFill>
                    <w14:schemeClr w14:val="tx2">
                      <w14:lumMod w14:val="60000"/>
                      <w14:lumOff w14:val="40000"/>
                    </w14:schemeClr>
                  </w14:solidFill>
                </w14:textFill>
              </w:rPr>
              <w:t>及以上</w:t>
            </w:r>
            <w:r>
              <w:rPr>
                <w:rFonts w:hint="eastAsia" w:ascii="仿宋" w:hAnsi="仿宋" w:eastAsia="仿宋" w:cs="宋体"/>
                <w:sz w:val="24"/>
                <w:szCs w:val="24"/>
              </w:rPr>
              <w:t>网络安全支撑单位的得4分，不提供不得分（提供证书复印件加盖公章）</w:t>
            </w:r>
          </w:p>
        </w:tc>
      </w:tr>
      <w:tr w14:paraId="7A09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Merge w:val="continue"/>
            <w:vAlign w:val="center"/>
          </w:tcPr>
          <w:p w14:paraId="58BA7239">
            <w:pPr>
              <w:widowControl/>
              <w:jc w:val="center"/>
              <w:rPr>
                <w:rFonts w:ascii="仿宋" w:hAnsi="仿宋" w:eastAsia="仿宋" w:cs="宋体"/>
                <w:color w:val="000000"/>
                <w:kern w:val="0"/>
                <w:sz w:val="24"/>
              </w:rPr>
            </w:pPr>
          </w:p>
        </w:tc>
        <w:tc>
          <w:tcPr>
            <w:tcW w:w="559" w:type="pct"/>
            <w:vMerge w:val="continue"/>
            <w:vAlign w:val="center"/>
          </w:tcPr>
          <w:p w14:paraId="03BCE182">
            <w:pPr>
              <w:widowControl/>
              <w:jc w:val="center"/>
              <w:rPr>
                <w:rFonts w:ascii="仿宋" w:hAnsi="仿宋" w:eastAsia="仿宋" w:cs="宋体"/>
                <w:color w:val="000000"/>
                <w:kern w:val="0"/>
                <w:sz w:val="24"/>
              </w:rPr>
            </w:pPr>
          </w:p>
        </w:tc>
        <w:tc>
          <w:tcPr>
            <w:tcW w:w="338" w:type="pct"/>
            <w:vMerge w:val="continue"/>
            <w:vAlign w:val="center"/>
          </w:tcPr>
          <w:p w14:paraId="0023E1D1">
            <w:pPr>
              <w:widowControl/>
              <w:jc w:val="center"/>
              <w:rPr>
                <w:rFonts w:ascii="仿宋" w:hAnsi="仿宋" w:eastAsia="仿宋" w:cs="宋体"/>
                <w:color w:val="000000"/>
                <w:kern w:val="0"/>
                <w:sz w:val="24"/>
              </w:rPr>
            </w:pPr>
          </w:p>
        </w:tc>
        <w:tc>
          <w:tcPr>
            <w:tcW w:w="3788" w:type="pct"/>
            <w:vAlign w:val="center"/>
          </w:tcPr>
          <w:p w14:paraId="7B9ABB21">
            <w:pPr>
              <w:widowControl/>
              <w:rPr>
                <w:rFonts w:ascii="仿宋" w:hAnsi="仿宋" w:eastAsia="仿宋" w:cs="宋体"/>
                <w:kern w:val="0"/>
                <w:sz w:val="24"/>
              </w:rPr>
            </w:pPr>
            <w:r>
              <w:rPr>
                <w:rFonts w:hint="eastAsia" w:ascii="仿宋" w:hAnsi="仿宋" w:eastAsia="仿宋" w:cs="宋体"/>
                <w:kern w:val="0"/>
                <w:sz w:val="24"/>
              </w:rPr>
              <w:t>供应商有国家信息安全测评信息安全服务资质证书（安全工程类一级）的得4分</w:t>
            </w:r>
            <w:r>
              <w:rPr>
                <w:rFonts w:hint="eastAsia" w:ascii="仿宋" w:hAnsi="仿宋" w:eastAsia="仿宋" w:cs="宋体"/>
                <w:sz w:val="24"/>
                <w:szCs w:val="24"/>
              </w:rPr>
              <w:t>，不提供不得分</w:t>
            </w:r>
            <w:r>
              <w:rPr>
                <w:rFonts w:hint="eastAsia" w:ascii="仿宋" w:hAnsi="仿宋" w:eastAsia="仿宋" w:cs="宋体"/>
                <w:kern w:val="0"/>
                <w:sz w:val="24"/>
              </w:rPr>
              <w:t>（提供证明文件加盖公章）</w:t>
            </w:r>
          </w:p>
        </w:tc>
      </w:tr>
      <w:tr w14:paraId="6F18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Merge w:val="continue"/>
            <w:vAlign w:val="center"/>
          </w:tcPr>
          <w:p w14:paraId="690829CF">
            <w:pPr>
              <w:widowControl/>
              <w:jc w:val="center"/>
              <w:rPr>
                <w:rFonts w:ascii="仿宋" w:hAnsi="仿宋" w:eastAsia="仿宋" w:cs="宋体"/>
                <w:color w:val="000000"/>
                <w:kern w:val="0"/>
                <w:sz w:val="24"/>
              </w:rPr>
            </w:pPr>
          </w:p>
        </w:tc>
        <w:tc>
          <w:tcPr>
            <w:tcW w:w="559" w:type="pct"/>
            <w:vMerge w:val="continue"/>
            <w:vAlign w:val="center"/>
          </w:tcPr>
          <w:p w14:paraId="7938E30E">
            <w:pPr>
              <w:widowControl/>
              <w:jc w:val="center"/>
              <w:rPr>
                <w:rFonts w:ascii="仿宋" w:hAnsi="仿宋" w:eastAsia="仿宋" w:cs="宋体"/>
                <w:color w:val="000000"/>
                <w:kern w:val="0"/>
                <w:sz w:val="24"/>
              </w:rPr>
            </w:pPr>
          </w:p>
        </w:tc>
        <w:tc>
          <w:tcPr>
            <w:tcW w:w="338" w:type="pct"/>
            <w:vMerge w:val="continue"/>
            <w:vAlign w:val="center"/>
          </w:tcPr>
          <w:p w14:paraId="166B8FC4">
            <w:pPr>
              <w:widowControl/>
              <w:jc w:val="center"/>
              <w:rPr>
                <w:rFonts w:ascii="仿宋" w:hAnsi="仿宋" w:eastAsia="仿宋" w:cs="宋体"/>
                <w:color w:val="000000"/>
                <w:kern w:val="0"/>
                <w:sz w:val="24"/>
              </w:rPr>
            </w:pPr>
          </w:p>
        </w:tc>
        <w:tc>
          <w:tcPr>
            <w:tcW w:w="3788" w:type="pct"/>
            <w:vAlign w:val="center"/>
          </w:tcPr>
          <w:p w14:paraId="37771976">
            <w:pPr>
              <w:widowControl/>
              <w:rPr>
                <w:rFonts w:ascii="仿宋" w:hAnsi="仿宋" w:eastAsia="仿宋" w:cs="宋体"/>
                <w:kern w:val="0"/>
                <w:sz w:val="24"/>
              </w:rPr>
            </w:pPr>
            <w:r>
              <w:rPr>
                <w:rFonts w:hint="eastAsia" w:ascii="仿宋" w:hAnsi="仿宋" w:eastAsia="仿宋" w:cs="宋体"/>
                <w:kern w:val="0"/>
                <w:sz w:val="24"/>
              </w:rPr>
              <w:t>供应商参加20</w:t>
            </w:r>
            <w:r>
              <w:rPr>
                <w:rFonts w:hint="eastAsia" w:ascii="仿宋" w:hAnsi="仿宋" w:eastAsia="仿宋" w:cs="宋体"/>
                <w:kern w:val="0"/>
                <w:sz w:val="24"/>
                <w:lang w:val="en-US" w:eastAsia="zh-CN"/>
              </w:rPr>
              <w:t>23</w:t>
            </w:r>
            <w:r>
              <w:rPr>
                <w:rFonts w:hint="eastAsia" w:ascii="仿宋" w:hAnsi="仿宋" w:eastAsia="仿宋" w:cs="宋体"/>
                <w:kern w:val="0"/>
                <w:sz w:val="24"/>
              </w:rPr>
              <w:t>年</w:t>
            </w:r>
            <w:r>
              <w:rPr>
                <w:rFonts w:hint="eastAsia" w:ascii="仿宋" w:hAnsi="仿宋" w:eastAsia="仿宋" w:cs="宋体"/>
                <w:kern w:val="0"/>
                <w:sz w:val="24"/>
                <w:lang w:val="en-US" w:eastAsia="zh-CN"/>
              </w:rPr>
              <w:t>以来</w:t>
            </w:r>
            <w:r>
              <w:rPr>
                <w:rFonts w:hint="eastAsia" w:ascii="仿宋" w:hAnsi="仿宋" w:eastAsia="仿宋" w:cs="宋体"/>
                <w:color w:val="0000FF"/>
                <w:kern w:val="0"/>
                <w:sz w:val="24"/>
              </w:rPr>
              <w:t>市级及以上</w:t>
            </w:r>
            <w:r>
              <w:rPr>
                <w:rFonts w:hint="eastAsia" w:ascii="仿宋" w:hAnsi="仿宋" w:eastAsia="仿宋" w:cs="宋体"/>
                <w:kern w:val="0"/>
                <w:sz w:val="24"/>
              </w:rPr>
              <w:t>网络安全应急实战演练大赛，并获得一等奖的得5分，二等奖的得2分，三等奖的得1分，没有不得分。（提供证明文件加盖公章）</w:t>
            </w:r>
          </w:p>
        </w:tc>
      </w:tr>
      <w:tr w14:paraId="59F1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Merge w:val="continue"/>
            <w:vAlign w:val="center"/>
          </w:tcPr>
          <w:p w14:paraId="306452E8">
            <w:pPr>
              <w:widowControl/>
              <w:jc w:val="center"/>
              <w:rPr>
                <w:rFonts w:ascii="仿宋" w:hAnsi="仿宋" w:eastAsia="仿宋" w:cs="宋体"/>
                <w:color w:val="000000"/>
                <w:kern w:val="0"/>
                <w:sz w:val="24"/>
              </w:rPr>
            </w:pPr>
          </w:p>
        </w:tc>
        <w:tc>
          <w:tcPr>
            <w:tcW w:w="559" w:type="pct"/>
            <w:vMerge w:val="continue"/>
            <w:vAlign w:val="center"/>
          </w:tcPr>
          <w:p w14:paraId="13CD55FE">
            <w:pPr>
              <w:widowControl/>
              <w:jc w:val="center"/>
              <w:rPr>
                <w:rFonts w:ascii="仿宋" w:hAnsi="仿宋" w:eastAsia="仿宋" w:cs="宋体"/>
                <w:color w:val="000000"/>
                <w:kern w:val="0"/>
                <w:sz w:val="24"/>
              </w:rPr>
            </w:pPr>
          </w:p>
        </w:tc>
        <w:tc>
          <w:tcPr>
            <w:tcW w:w="338" w:type="pct"/>
            <w:vMerge w:val="continue"/>
            <w:vAlign w:val="center"/>
          </w:tcPr>
          <w:p w14:paraId="47689E3B">
            <w:pPr>
              <w:widowControl/>
              <w:jc w:val="center"/>
              <w:rPr>
                <w:rFonts w:ascii="仿宋" w:hAnsi="仿宋" w:eastAsia="仿宋" w:cs="宋体"/>
                <w:color w:val="000000"/>
                <w:kern w:val="0"/>
                <w:sz w:val="24"/>
              </w:rPr>
            </w:pPr>
          </w:p>
        </w:tc>
        <w:tc>
          <w:tcPr>
            <w:tcW w:w="3788" w:type="pct"/>
            <w:vAlign w:val="center"/>
          </w:tcPr>
          <w:p w14:paraId="138B16AD">
            <w:pPr>
              <w:widowControl/>
              <w:rPr>
                <w:rFonts w:ascii="仿宋" w:hAnsi="仿宋" w:eastAsia="仿宋" w:cs="宋体"/>
                <w:kern w:val="0"/>
                <w:sz w:val="24"/>
              </w:rPr>
            </w:pPr>
            <w:r>
              <w:rPr>
                <w:rFonts w:hint="eastAsia" w:ascii="仿宋" w:hAnsi="仿宋" w:eastAsia="仿宋" w:cs="宋体"/>
                <w:kern w:val="0"/>
                <w:sz w:val="24"/>
              </w:rPr>
              <w:t>供应商有信息安全等级保护关键技术国家工程实验室或分实验室作为技术支撑的得5分（提供合作协议证明）；没有不得分。（提供正式的合作协议复印件并加盖供应商公章，原件</w:t>
            </w:r>
            <w:r>
              <w:rPr>
                <w:rFonts w:hint="eastAsia" w:ascii="仿宋" w:hAnsi="仿宋" w:eastAsia="仿宋" w:cs="宋体"/>
                <w:kern w:val="0"/>
                <w:sz w:val="24"/>
                <w:lang w:val="zh-CN"/>
              </w:rPr>
              <w:t>成交</w:t>
            </w:r>
            <w:r>
              <w:rPr>
                <w:rFonts w:hint="eastAsia" w:ascii="仿宋" w:hAnsi="仿宋" w:eastAsia="仿宋" w:cs="宋体"/>
                <w:kern w:val="0"/>
                <w:sz w:val="24"/>
              </w:rPr>
              <w:t>后提交审核）。</w:t>
            </w:r>
          </w:p>
        </w:tc>
      </w:tr>
      <w:tr w14:paraId="7D90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Align w:val="center"/>
          </w:tcPr>
          <w:p w14:paraId="1CE8ABA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559" w:type="pct"/>
            <w:vAlign w:val="center"/>
          </w:tcPr>
          <w:p w14:paraId="250CFD9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人员资质</w:t>
            </w:r>
          </w:p>
        </w:tc>
        <w:tc>
          <w:tcPr>
            <w:tcW w:w="338" w:type="pct"/>
            <w:vAlign w:val="center"/>
          </w:tcPr>
          <w:p w14:paraId="7E69ED0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3788" w:type="pct"/>
            <w:vAlign w:val="center"/>
          </w:tcPr>
          <w:p w14:paraId="1EA7CE48">
            <w:pPr>
              <w:widowControl/>
              <w:rPr>
                <w:rFonts w:ascii="仿宋" w:hAnsi="仿宋" w:eastAsia="仿宋" w:cs="宋体"/>
                <w:color w:val="000000"/>
                <w:kern w:val="0"/>
                <w:sz w:val="24"/>
              </w:rPr>
            </w:pPr>
            <w:r>
              <w:rPr>
                <w:rFonts w:hint="eastAsia" w:ascii="仿宋" w:hAnsi="仿宋" w:eastAsia="仿宋" w:cs="宋体"/>
                <w:color w:val="000000"/>
                <w:kern w:val="0"/>
                <w:sz w:val="24"/>
              </w:rPr>
              <w:t>项目组成员具有注册信息安全专业人员（CISP）证书的得3分；具有信息系统项目管理师证书的得3分；具有高级软件测评工程师证书的得3分；具有信息安全保障人员认证证书CISAW（安全运维方向）的得3分；没有不得分。</w:t>
            </w:r>
          </w:p>
          <w:p w14:paraId="26A15881">
            <w:pPr>
              <w:widowControl/>
              <w:rPr>
                <w:rFonts w:ascii="仿宋" w:hAnsi="仿宋" w:eastAsia="仿宋" w:cs="宋体"/>
                <w:color w:val="000000"/>
                <w:kern w:val="0"/>
                <w:sz w:val="24"/>
              </w:rPr>
            </w:pPr>
            <w:r>
              <w:rPr>
                <w:rFonts w:hint="eastAsia" w:ascii="仿宋" w:hAnsi="仿宋" w:eastAsia="仿宋" w:cs="宋体"/>
                <w:color w:val="000000"/>
                <w:kern w:val="0"/>
                <w:sz w:val="24"/>
              </w:rPr>
              <w:t>证明材料：</w:t>
            </w:r>
          </w:p>
          <w:p w14:paraId="16CD171F">
            <w:pPr>
              <w:widowControl/>
              <w:rPr>
                <w:rFonts w:ascii="仿宋" w:hAnsi="仿宋" w:eastAsia="仿宋" w:cs="宋体"/>
                <w:color w:val="000000"/>
                <w:kern w:val="0"/>
                <w:sz w:val="24"/>
              </w:rPr>
            </w:pPr>
            <w:r>
              <w:rPr>
                <w:rFonts w:hint="eastAsia" w:ascii="仿宋" w:hAnsi="仿宋" w:eastAsia="仿宋" w:cs="宋体"/>
                <w:color w:val="000000"/>
                <w:kern w:val="0"/>
                <w:sz w:val="24"/>
              </w:rPr>
              <w:t>1、提供上述人员证书原件扫描件，电子档证书提供查询渠道。</w:t>
            </w:r>
          </w:p>
          <w:p w14:paraId="54FCB3F6">
            <w:pPr>
              <w:widowControl/>
              <w:rPr>
                <w:rFonts w:ascii="仿宋" w:hAnsi="仿宋" w:eastAsia="仿宋" w:cs="宋体"/>
                <w:color w:val="000000"/>
                <w:kern w:val="0"/>
                <w:sz w:val="24"/>
              </w:rPr>
            </w:pPr>
            <w:r>
              <w:rPr>
                <w:rFonts w:hint="eastAsia" w:ascii="仿宋" w:hAnsi="仿宋" w:eastAsia="仿宋" w:cs="宋体"/>
                <w:color w:val="000000"/>
                <w:kern w:val="0"/>
                <w:sz w:val="24"/>
              </w:rPr>
              <w:t>2、提供上述人员在本单位今年以来任意一个月的社保清单，社保证明需社保单位盖章。</w:t>
            </w:r>
          </w:p>
        </w:tc>
      </w:tr>
      <w:tr w14:paraId="38FF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Align w:val="center"/>
          </w:tcPr>
          <w:p w14:paraId="36C672F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559" w:type="pct"/>
            <w:vAlign w:val="center"/>
          </w:tcPr>
          <w:p w14:paraId="763456E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技术服务方案</w:t>
            </w:r>
          </w:p>
        </w:tc>
        <w:tc>
          <w:tcPr>
            <w:tcW w:w="338" w:type="pct"/>
            <w:vAlign w:val="center"/>
          </w:tcPr>
          <w:p w14:paraId="50F69D1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3788" w:type="pct"/>
            <w:vAlign w:val="center"/>
          </w:tcPr>
          <w:p w14:paraId="1FF5EFD9">
            <w:pPr>
              <w:widowControl/>
              <w:rPr>
                <w:rFonts w:ascii="仿宋" w:hAnsi="仿宋" w:eastAsia="仿宋" w:cs="宋体"/>
                <w:color w:val="000000"/>
                <w:kern w:val="0"/>
                <w:sz w:val="24"/>
              </w:rPr>
            </w:pPr>
            <w:r>
              <w:rPr>
                <w:rFonts w:hint="eastAsia" w:ascii="仿宋" w:hAnsi="仿宋" w:eastAsia="仿宋" w:cs="宋体"/>
                <w:color w:val="000000"/>
                <w:kern w:val="0"/>
                <w:sz w:val="24"/>
              </w:rPr>
              <w:t>供应商根据</w:t>
            </w:r>
            <w:r>
              <w:rPr>
                <w:rFonts w:hint="eastAsia" w:ascii="仿宋" w:hAnsi="仿宋" w:eastAsia="仿宋" w:cs="宋体"/>
                <w:color w:val="000000"/>
                <w:kern w:val="0"/>
                <w:sz w:val="24"/>
                <w:lang w:eastAsia="zh-CN"/>
              </w:rPr>
              <w:t>项目</w:t>
            </w:r>
            <w:r>
              <w:rPr>
                <w:rFonts w:hint="eastAsia" w:ascii="仿宋" w:hAnsi="仿宋" w:eastAsia="仿宋" w:cs="宋体"/>
                <w:color w:val="000000"/>
                <w:kern w:val="0"/>
                <w:sz w:val="24"/>
              </w:rPr>
              <w:t>需求进行网络安全运维服务的方案设计。方案内容优于或完全响应，能结合项目实际情况，提出较完善的业务连续性方案，最贴近采购人系统现状、最科学合理的方案得16分；方案内容完全响应，基本符合规范要求，基本贴近采购人系统现状、基本科学合理的方案得9分；方案较简单，内容响应不完整，重复罗列</w:t>
            </w:r>
            <w:r>
              <w:rPr>
                <w:rFonts w:hint="eastAsia" w:ascii="仿宋" w:hAnsi="仿宋" w:eastAsia="仿宋" w:cs="宋体"/>
                <w:color w:val="000000"/>
                <w:kern w:val="0"/>
                <w:sz w:val="24"/>
                <w:lang w:eastAsia="zh-CN"/>
              </w:rPr>
              <w:t>采购</w:t>
            </w:r>
            <w:r>
              <w:rPr>
                <w:rFonts w:hint="eastAsia" w:ascii="仿宋" w:hAnsi="仿宋" w:eastAsia="仿宋" w:cs="宋体"/>
                <w:color w:val="000000"/>
                <w:kern w:val="0"/>
                <w:sz w:val="24"/>
              </w:rPr>
              <w:t>文件的要求得4分；不提供不得分。</w:t>
            </w:r>
          </w:p>
        </w:tc>
      </w:tr>
      <w:tr w14:paraId="1248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Align w:val="center"/>
          </w:tcPr>
          <w:p w14:paraId="2F5E197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559" w:type="pct"/>
            <w:vAlign w:val="center"/>
          </w:tcPr>
          <w:p w14:paraId="4803981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案例</w:t>
            </w:r>
          </w:p>
        </w:tc>
        <w:tc>
          <w:tcPr>
            <w:tcW w:w="338" w:type="pct"/>
            <w:vAlign w:val="center"/>
          </w:tcPr>
          <w:p w14:paraId="4CEE642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3788" w:type="pct"/>
            <w:vAlign w:val="center"/>
          </w:tcPr>
          <w:p w14:paraId="7083FB2F">
            <w:pPr>
              <w:widowControl/>
              <w:rPr>
                <w:rFonts w:ascii="仿宋" w:hAnsi="仿宋" w:eastAsia="仿宋" w:cs="宋体"/>
                <w:color w:val="000000"/>
                <w:kern w:val="0"/>
                <w:sz w:val="24"/>
              </w:rPr>
            </w:pPr>
            <w:r>
              <w:rPr>
                <w:rFonts w:hint="eastAsia" w:ascii="仿宋" w:hAnsi="仿宋" w:eastAsia="仿宋" w:cs="宋体"/>
                <w:color w:val="000000"/>
                <w:kern w:val="0"/>
                <w:sz w:val="24"/>
              </w:rPr>
              <w:t>提供自2022年1月1日起</w:t>
            </w:r>
            <w:r>
              <w:rPr>
                <w:rFonts w:hint="eastAsia" w:ascii="仿宋" w:hAnsi="仿宋" w:eastAsia="仿宋" w:cs="宋体"/>
                <w:color w:val="000000"/>
                <w:kern w:val="0"/>
                <w:sz w:val="24"/>
                <w:lang w:eastAsia="zh-CN"/>
              </w:rPr>
              <w:t>类似</w:t>
            </w:r>
            <w:r>
              <w:rPr>
                <w:rFonts w:hint="eastAsia" w:ascii="仿宋" w:hAnsi="仿宋" w:eastAsia="仿宋" w:cs="宋体"/>
                <w:color w:val="000000"/>
                <w:kern w:val="0"/>
                <w:sz w:val="24"/>
              </w:rPr>
              <w:t>网络安全服务类项目案例，并提供合同原件扫描件</w:t>
            </w:r>
            <w:r>
              <w:rPr>
                <w:rFonts w:hint="eastAsia" w:ascii="仿宋" w:hAnsi="仿宋" w:eastAsia="仿宋" w:cs="宋体"/>
                <w:color w:val="000000"/>
                <w:kern w:val="0"/>
                <w:sz w:val="24"/>
                <w:lang w:val="en-US" w:eastAsia="zh-CN"/>
              </w:rPr>
              <w:t>加盖公章</w:t>
            </w:r>
            <w:r>
              <w:rPr>
                <w:rFonts w:hint="eastAsia" w:ascii="仿宋" w:hAnsi="仿宋" w:eastAsia="仿宋" w:cs="宋体"/>
                <w:color w:val="000000"/>
                <w:kern w:val="0"/>
                <w:sz w:val="24"/>
              </w:rPr>
              <w:t>。每提供一份得2分，最高6分。</w:t>
            </w:r>
          </w:p>
        </w:tc>
      </w:tr>
      <w:tr w14:paraId="67B8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Align w:val="center"/>
          </w:tcPr>
          <w:p w14:paraId="77BCC9D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559" w:type="pct"/>
            <w:vAlign w:val="center"/>
          </w:tcPr>
          <w:p w14:paraId="2099277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应急到场时间</w:t>
            </w:r>
          </w:p>
        </w:tc>
        <w:tc>
          <w:tcPr>
            <w:tcW w:w="338" w:type="pct"/>
            <w:vAlign w:val="center"/>
          </w:tcPr>
          <w:p w14:paraId="2E8B9D3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3788" w:type="pct"/>
            <w:vAlign w:val="center"/>
          </w:tcPr>
          <w:p w14:paraId="3D1B9F39">
            <w:pPr>
              <w:widowControl/>
              <w:rPr>
                <w:rFonts w:ascii="仿宋" w:hAnsi="仿宋" w:eastAsia="仿宋" w:cs="宋体"/>
                <w:color w:val="000000"/>
                <w:kern w:val="0"/>
                <w:sz w:val="24"/>
              </w:rPr>
            </w:pPr>
            <w:r>
              <w:rPr>
                <w:rFonts w:hint="eastAsia" w:ascii="仿宋" w:hAnsi="仿宋" w:eastAsia="仿宋" w:cs="宋体"/>
                <w:color w:val="000000"/>
                <w:kern w:val="0"/>
                <w:sz w:val="24"/>
              </w:rPr>
              <w:t>供应商需具备应急响应能力；项目组成员网络事件应急到场时间在1小时内的得4分；2小时内到场的得2分；3小时内到场的得1分；超过3小时的不得分。</w:t>
            </w:r>
            <w:r>
              <w:rPr>
                <w:rFonts w:hint="eastAsia" w:ascii="仿宋" w:hAnsi="仿宋" w:eastAsia="仿宋" w:cs="仿宋_GB2312"/>
                <w:bCs/>
                <w:sz w:val="24"/>
              </w:rPr>
              <w:t>提供应急响应承诺函，响应服务时间以投标企业注册地址至采购人地址主流导航显示时间为准。（提供截图并加盖公章）。</w:t>
            </w:r>
          </w:p>
        </w:tc>
      </w:tr>
    </w:tbl>
    <w:p w14:paraId="4C4521F6">
      <w:pPr>
        <w:ind w:firstLine="562" w:firstLineChars="200"/>
        <w:rPr>
          <w:rFonts w:hint="eastAsia" w:ascii="宋体" w:hAnsi="宋体" w:cs="宋体"/>
          <w:color w:val="auto"/>
          <w:sz w:val="28"/>
          <w:szCs w:val="28"/>
        </w:rPr>
      </w:pPr>
      <w:r>
        <w:rPr>
          <w:rFonts w:hint="eastAsia" w:ascii="宋体" w:hAnsi="宋体" w:cs="宋体"/>
          <w:b/>
          <w:color w:val="auto"/>
          <w:sz w:val="28"/>
          <w:szCs w:val="28"/>
        </w:rPr>
        <w:t>（四）</w:t>
      </w:r>
      <w:r>
        <w:rPr>
          <w:rFonts w:hint="eastAsia" w:ascii="宋体" w:hAnsi="宋体" w:cs="宋体"/>
          <w:b/>
          <w:color w:val="auto"/>
          <w:sz w:val="28"/>
          <w:szCs w:val="28"/>
          <w:lang w:val="zh-CN"/>
        </w:rPr>
        <w:t>价格分</w:t>
      </w:r>
      <w:r>
        <w:rPr>
          <w:rFonts w:hint="eastAsia" w:ascii="宋体" w:hAnsi="宋体" w:cs="宋体"/>
          <w:b/>
          <w:color w:val="auto"/>
          <w:sz w:val="28"/>
          <w:szCs w:val="28"/>
        </w:rPr>
        <w:t>：</w:t>
      </w:r>
      <w:r>
        <w:rPr>
          <w:rFonts w:hint="eastAsia" w:ascii="宋体" w:hAnsi="宋体" w:cs="宋体"/>
          <w:color w:val="auto"/>
          <w:sz w:val="28"/>
          <w:szCs w:val="28"/>
          <w:lang w:val="en-US" w:eastAsia="zh-CN"/>
        </w:rPr>
        <w:t>3</w:t>
      </w:r>
      <w:r>
        <w:rPr>
          <w:rFonts w:hint="eastAsia" w:ascii="宋体" w:hAnsi="宋体" w:cs="宋体"/>
          <w:color w:val="auto"/>
          <w:sz w:val="28"/>
          <w:szCs w:val="28"/>
        </w:rPr>
        <w:t>0</w:t>
      </w:r>
      <w:r>
        <w:rPr>
          <w:rFonts w:hint="eastAsia" w:ascii="宋体" w:hAnsi="宋体" w:cs="宋体"/>
          <w:color w:val="auto"/>
          <w:sz w:val="28"/>
          <w:szCs w:val="28"/>
          <w:lang w:val="zh-CN"/>
        </w:rPr>
        <w:t>分</w:t>
      </w:r>
    </w:p>
    <w:p w14:paraId="715430B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价格分统一采用低价优先法计算，即满足磋商文件要求且最后报价最低的供应商的价格为磋商基准价，其价格分为满分。其他供应商的价格分统一按照下列公式计算：</w:t>
      </w:r>
    </w:p>
    <w:p w14:paraId="27BD807E">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磋商报价得分=（磋商基准价/最后磋商报价）×</w:t>
      </w:r>
      <w:r>
        <w:rPr>
          <w:rFonts w:hint="eastAsia" w:ascii="宋体" w:hAnsi="宋体" w:cs="宋体"/>
          <w:color w:val="auto"/>
          <w:sz w:val="28"/>
          <w:szCs w:val="28"/>
          <w:lang w:val="en-US" w:eastAsia="zh-CN"/>
        </w:rPr>
        <w:t>3</w:t>
      </w:r>
      <w:r>
        <w:rPr>
          <w:rFonts w:hint="eastAsia" w:ascii="宋体" w:hAnsi="宋体" w:cs="宋体"/>
          <w:color w:val="auto"/>
          <w:sz w:val="28"/>
          <w:szCs w:val="28"/>
        </w:rPr>
        <w:t>0</w:t>
      </w:r>
      <w:r>
        <w:rPr>
          <w:rFonts w:hint="eastAsia" w:ascii="宋体" w:hAnsi="宋体" w:cs="宋体"/>
          <w:color w:val="auto"/>
          <w:sz w:val="28"/>
          <w:szCs w:val="28"/>
          <w:lang w:eastAsia="zh-CN"/>
        </w:rPr>
        <w:t>分</w:t>
      </w:r>
    </w:p>
    <w:p w14:paraId="23188411">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F4DEFAB">
      <w:pPr>
        <w:adjustRightInd w:val="0"/>
        <w:snapToGrid w:val="0"/>
        <w:spacing w:line="460" w:lineRule="exact"/>
        <w:ind w:firstLine="570"/>
        <w:rPr>
          <w:rFonts w:hint="eastAsia" w:ascii="宋体" w:hAnsi="宋体" w:cs="宋体"/>
          <w:b/>
          <w:bCs/>
          <w:color w:val="auto"/>
          <w:sz w:val="28"/>
          <w:szCs w:val="28"/>
        </w:rPr>
      </w:pPr>
      <w:r>
        <w:rPr>
          <w:rFonts w:hint="eastAsia" w:ascii="宋体" w:hAnsi="宋体" w:cs="宋体"/>
          <w:b/>
          <w:bCs/>
          <w:color w:val="auto"/>
          <w:sz w:val="28"/>
          <w:szCs w:val="28"/>
          <w:lang w:eastAsia="zh-CN"/>
        </w:rPr>
        <w:t>（五）</w:t>
      </w:r>
      <w:r>
        <w:rPr>
          <w:rFonts w:hint="eastAsia" w:ascii="宋体" w:hAnsi="宋体" w:cs="宋体"/>
          <w:b/>
          <w:bCs/>
          <w:color w:val="auto"/>
          <w:sz w:val="28"/>
          <w:szCs w:val="28"/>
        </w:rPr>
        <w:t>政府采购政策功能落实</w:t>
      </w:r>
    </w:p>
    <w:p w14:paraId="4EAA5122">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1.小微型企业价格扣除</w:t>
      </w:r>
    </w:p>
    <w:p w14:paraId="76884B01">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（1）本项目对小型和微型企业</w:t>
      </w:r>
      <w:r>
        <w:rPr>
          <w:rFonts w:hint="eastAsia" w:ascii="宋体" w:hAnsi="宋体" w:eastAsia="宋体" w:cs="宋体"/>
          <w:color w:val="auto"/>
          <w:sz w:val="28"/>
          <w:szCs w:val="28"/>
          <w:highlight w:val="none"/>
          <w:lang w:val="en-US" w:eastAsia="zh-CN"/>
        </w:rPr>
        <w:t>服务</w:t>
      </w:r>
      <w:r>
        <w:rPr>
          <w:rFonts w:hint="eastAsia" w:ascii="宋体" w:hAnsi="宋体" w:eastAsia="宋体" w:cs="宋体"/>
          <w:color w:val="auto"/>
          <w:sz w:val="28"/>
          <w:szCs w:val="28"/>
          <w:highlight w:val="none"/>
        </w:rPr>
        <w:t>给予10%的扣除价格，用扣除后的价格参与评审。</w:t>
      </w:r>
    </w:p>
    <w:p w14:paraId="0C8560F3">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（2）供应商需按照《政府采购促进中小企业发展管理办法》（财库﹝2020﹞46 号）的规定提供相应的《中小企业声明函》。</w:t>
      </w:r>
    </w:p>
    <w:p w14:paraId="5044893C">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（3）企业标准请参照《关于印发中小企业划型标准规定的通知》（工信部联企业﹝2011﹞300号）文件规定自行填写。</w:t>
      </w:r>
    </w:p>
    <w:p w14:paraId="5C1AE1CA">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2.残疾人福利单位价格扣除</w:t>
      </w:r>
    </w:p>
    <w:p w14:paraId="17F93322">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（1）本项目对残疾人福利性单位，给予10%的价格扣除，用扣除后的价格参与评审。</w:t>
      </w:r>
    </w:p>
    <w:p w14:paraId="4998C9A3">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（2）残疾人福利单位需按照采购文件的要求提供《残疾人福利性单位声明函》。</w:t>
      </w:r>
    </w:p>
    <w:p w14:paraId="7F6BBC1F">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（3）残疾人福利单位标准请参照《关于促进残疾人就业政府采购政策的通知》（财库〔2017〕141号）。</w:t>
      </w:r>
    </w:p>
    <w:p w14:paraId="452ED7F7">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3.监狱和戒毒企业价格扣除</w:t>
      </w:r>
    </w:p>
    <w:p w14:paraId="5F2DABBE">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（1）本项目对监狱和戒毒企业（简称监狱企业）给予10%的价格扣除，用扣除后的价格参与评审。</w:t>
      </w:r>
    </w:p>
    <w:p w14:paraId="140B06E4">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（2）监狱企业参加政府采购活动时，需提供由省级以上监狱管理局、戒毒管理局(含新疆生产建设兵团)出具的属于监狱企业的证明文件。供应商如不提供上述证明文件，价格将不做相应扣除。</w:t>
      </w:r>
    </w:p>
    <w:p w14:paraId="2B4C894D">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（3）监狱企业标准请参照《关于政府采购支持监狱企业发展有关问题的通知》（财库﹝2014﹞68号）。</w:t>
      </w:r>
    </w:p>
    <w:p w14:paraId="6F92A4EE">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cs="宋体"/>
          <w:b/>
          <w:color w:val="auto"/>
          <w:sz w:val="28"/>
          <w:szCs w:val="28"/>
          <w:highlight w:val="none"/>
          <w:lang w:val="zh-CN"/>
        </w:rPr>
      </w:pPr>
      <w:r>
        <w:rPr>
          <w:rFonts w:hint="eastAsia" w:ascii="宋体" w:hAnsi="宋体" w:eastAsia="宋体" w:cs="宋体"/>
          <w:color w:val="auto"/>
          <w:sz w:val="28"/>
          <w:szCs w:val="28"/>
          <w:highlight w:val="none"/>
        </w:rPr>
        <w:t>4.残疾人福利单位、监狱企业属于小型、微型企业的，不重复享受政策。</w:t>
      </w:r>
    </w:p>
    <w:p w14:paraId="3099E0A4">
      <w:pPr>
        <w:adjustRightInd w:val="0"/>
        <w:snapToGrid w:val="0"/>
        <w:spacing w:line="460" w:lineRule="exact"/>
        <w:ind w:firstLine="570"/>
        <w:outlineLvl w:val="2"/>
        <w:rPr>
          <w:rFonts w:hint="eastAsia" w:ascii="宋体" w:hAnsi="宋体" w:cs="宋体"/>
          <w:bCs/>
          <w:color w:val="auto"/>
          <w:sz w:val="28"/>
          <w:szCs w:val="28"/>
        </w:rPr>
      </w:pPr>
      <w:r>
        <w:rPr>
          <w:rFonts w:hint="eastAsia" w:ascii="宋体" w:hAnsi="宋体" w:cs="宋体"/>
          <w:b/>
          <w:color w:val="auto"/>
          <w:sz w:val="28"/>
          <w:szCs w:val="28"/>
        </w:rPr>
        <w:t>（</w:t>
      </w:r>
      <w:r>
        <w:rPr>
          <w:rFonts w:hint="eastAsia" w:ascii="宋体" w:hAnsi="宋体" w:cs="宋体"/>
          <w:b/>
          <w:color w:val="auto"/>
          <w:sz w:val="28"/>
          <w:szCs w:val="28"/>
          <w:lang w:val="en-US" w:eastAsia="zh-CN"/>
        </w:rPr>
        <w:t>六</w:t>
      </w:r>
      <w:r>
        <w:rPr>
          <w:rFonts w:hint="eastAsia" w:ascii="宋体" w:hAnsi="宋体" w:cs="宋体"/>
          <w:b/>
          <w:color w:val="auto"/>
          <w:sz w:val="28"/>
          <w:szCs w:val="28"/>
        </w:rPr>
        <w:t>）成交供应商的确定</w:t>
      </w:r>
    </w:p>
    <w:p w14:paraId="2FDD9FB8">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磋商小组汇总各评委评分后，按照得分从高到低的顺序推荐三名成交候选人，并编写评审报告。</w:t>
      </w:r>
    </w:p>
    <w:p w14:paraId="3C649A59">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采购人委托磋商小组直接确定排名第一的成交候选人为成交供应商。</w:t>
      </w:r>
    </w:p>
    <w:p w14:paraId="0198B80A">
      <w:pPr>
        <w:adjustRightInd w:val="0"/>
        <w:snapToGrid w:val="0"/>
        <w:spacing w:line="460" w:lineRule="exact"/>
        <w:ind w:firstLine="562" w:firstLineChars="200"/>
        <w:outlineLvl w:val="2"/>
        <w:rPr>
          <w:rFonts w:hint="eastAsia" w:ascii="宋体" w:hAnsi="宋体" w:cs="宋体"/>
          <w:b/>
          <w:color w:val="auto"/>
          <w:sz w:val="28"/>
          <w:szCs w:val="28"/>
        </w:rPr>
      </w:pPr>
      <w:r>
        <w:rPr>
          <w:rFonts w:hint="eastAsia" w:ascii="宋体" w:hAnsi="宋体" w:cs="宋体"/>
          <w:b/>
          <w:color w:val="auto"/>
          <w:sz w:val="28"/>
          <w:szCs w:val="28"/>
        </w:rPr>
        <w:t>（</w:t>
      </w:r>
      <w:r>
        <w:rPr>
          <w:rFonts w:hint="eastAsia" w:ascii="宋体" w:hAnsi="宋体" w:cs="宋体"/>
          <w:b/>
          <w:color w:val="auto"/>
          <w:sz w:val="28"/>
          <w:szCs w:val="28"/>
          <w:lang w:val="en-US" w:eastAsia="zh-CN"/>
        </w:rPr>
        <w:t>七</w:t>
      </w:r>
      <w:r>
        <w:rPr>
          <w:rFonts w:hint="eastAsia" w:ascii="宋体" w:hAnsi="宋体" w:cs="宋体"/>
          <w:b/>
          <w:color w:val="auto"/>
          <w:sz w:val="28"/>
          <w:szCs w:val="28"/>
        </w:rPr>
        <w:t>）</w:t>
      </w:r>
      <w:r>
        <w:rPr>
          <w:rFonts w:hint="eastAsia" w:ascii="宋体" w:hAnsi="宋体" w:cs="宋体"/>
          <w:b/>
          <w:color w:val="auto"/>
          <w:sz w:val="28"/>
          <w:szCs w:val="28"/>
          <w:lang w:eastAsia="zh-CN"/>
        </w:rPr>
        <w:t>通告</w:t>
      </w:r>
      <w:r>
        <w:rPr>
          <w:rFonts w:hint="eastAsia" w:ascii="宋体" w:hAnsi="宋体" w:cs="宋体"/>
          <w:b/>
          <w:color w:val="auto"/>
          <w:sz w:val="28"/>
          <w:szCs w:val="28"/>
        </w:rPr>
        <w:t>成交结果</w:t>
      </w:r>
    </w:p>
    <w:p w14:paraId="3AFFFA22">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自确定成交供应商之日起2个工作日内，在</w:t>
      </w:r>
      <w:r>
        <w:rPr>
          <w:rFonts w:hint="eastAsia" w:ascii="宋体" w:hAnsi="宋体" w:cs="宋体"/>
          <w:color w:val="auto"/>
          <w:sz w:val="28"/>
          <w:szCs w:val="28"/>
          <w:lang w:eastAsia="zh-CN"/>
        </w:rPr>
        <w:t>江苏省南通卫生高等职业技术学校网站或南通市卫生健康委员会网站通告</w:t>
      </w:r>
      <w:r>
        <w:rPr>
          <w:rFonts w:hint="eastAsia" w:ascii="宋体" w:hAnsi="宋体" w:cs="宋体"/>
          <w:color w:val="auto"/>
          <w:sz w:val="28"/>
          <w:szCs w:val="28"/>
        </w:rPr>
        <w:t>成交结果，</w:t>
      </w:r>
      <w:r>
        <w:rPr>
          <w:rFonts w:hint="eastAsia" w:ascii="宋体" w:hAnsi="宋体" w:cs="宋体"/>
          <w:color w:val="auto"/>
          <w:sz w:val="28"/>
          <w:szCs w:val="28"/>
          <w:lang w:eastAsia="zh-CN"/>
        </w:rPr>
        <w:t>通告</w:t>
      </w:r>
      <w:r>
        <w:rPr>
          <w:rFonts w:hint="eastAsia" w:ascii="宋体" w:hAnsi="宋体" w:cs="宋体"/>
          <w:color w:val="auto"/>
          <w:sz w:val="28"/>
          <w:szCs w:val="28"/>
        </w:rPr>
        <w:t>期限为1个工作日。</w:t>
      </w:r>
    </w:p>
    <w:p w14:paraId="0A31079F">
      <w:pPr>
        <w:adjustRightInd w:val="0"/>
        <w:snapToGrid w:val="0"/>
        <w:spacing w:line="460" w:lineRule="exact"/>
        <w:ind w:firstLine="562" w:firstLineChars="200"/>
        <w:outlineLvl w:val="2"/>
        <w:rPr>
          <w:rFonts w:hint="eastAsia" w:ascii="宋体" w:hAnsi="宋体" w:cs="宋体"/>
          <w:b/>
          <w:bCs/>
          <w:color w:val="auto"/>
          <w:sz w:val="28"/>
          <w:szCs w:val="28"/>
        </w:rPr>
      </w:pPr>
      <w:r>
        <w:rPr>
          <w:rFonts w:hint="eastAsia" w:ascii="宋体" w:hAnsi="宋体" w:cs="宋体"/>
          <w:b/>
          <w:color w:val="auto"/>
          <w:sz w:val="28"/>
          <w:szCs w:val="28"/>
        </w:rPr>
        <w:t>（八）</w:t>
      </w:r>
      <w:r>
        <w:rPr>
          <w:rFonts w:hint="eastAsia" w:ascii="宋体" w:hAnsi="宋体" w:cs="宋体"/>
          <w:b/>
          <w:bCs/>
          <w:color w:val="auto"/>
          <w:sz w:val="28"/>
          <w:szCs w:val="28"/>
        </w:rPr>
        <w:t>发放成交通知书</w:t>
      </w:r>
    </w:p>
    <w:p w14:paraId="4DFC305C">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lang w:eastAsia="zh-CN"/>
        </w:rPr>
        <w:t>通告</w:t>
      </w:r>
      <w:r>
        <w:rPr>
          <w:rFonts w:hint="eastAsia" w:ascii="宋体" w:hAnsi="宋体" w:cs="宋体"/>
          <w:color w:val="auto"/>
          <w:sz w:val="28"/>
          <w:szCs w:val="28"/>
        </w:rPr>
        <w:t>成交结果的同时，采购代理机构</w:t>
      </w:r>
      <w:r>
        <w:rPr>
          <w:rFonts w:hint="eastAsia" w:ascii="宋体" w:hAnsi="宋体" w:cs="宋体"/>
          <w:bCs/>
          <w:color w:val="auto"/>
          <w:sz w:val="28"/>
          <w:szCs w:val="28"/>
        </w:rPr>
        <w:t>向成交供应商发放成交通知书。联系电话：0513-55887688。</w:t>
      </w:r>
    </w:p>
    <w:p w14:paraId="5B3E119D">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成交通知书发出后，采购人不得违法改变成交结果，成交供应商无正当理由不得放弃成交。</w:t>
      </w:r>
    </w:p>
    <w:p w14:paraId="7FCA1C21">
      <w:pPr>
        <w:snapToGrid w:val="0"/>
        <w:spacing w:line="460" w:lineRule="exact"/>
        <w:ind w:firstLine="562" w:firstLineChars="200"/>
        <w:rPr>
          <w:rFonts w:hint="eastAsia" w:ascii="宋体" w:hAnsi="宋体" w:cs="宋体"/>
          <w:b/>
          <w:color w:val="auto"/>
          <w:sz w:val="28"/>
          <w:szCs w:val="28"/>
        </w:rPr>
      </w:pPr>
      <w:r>
        <w:rPr>
          <w:rFonts w:hint="eastAsia" w:ascii="宋体" w:hAnsi="宋体" w:cs="宋体"/>
          <w:b/>
          <w:color w:val="auto"/>
          <w:sz w:val="28"/>
          <w:szCs w:val="28"/>
        </w:rPr>
        <w:t>（</w:t>
      </w:r>
      <w:r>
        <w:rPr>
          <w:rFonts w:hint="eastAsia" w:ascii="宋体" w:hAnsi="宋体" w:cs="宋体"/>
          <w:b/>
          <w:color w:val="auto"/>
          <w:sz w:val="28"/>
          <w:szCs w:val="28"/>
          <w:lang w:eastAsia="zh-CN"/>
        </w:rPr>
        <w:t>九</w:t>
      </w:r>
      <w:r>
        <w:rPr>
          <w:rFonts w:hint="eastAsia" w:ascii="宋体" w:hAnsi="宋体" w:cs="宋体"/>
          <w:b/>
          <w:color w:val="auto"/>
          <w:sz w:val="28"/>
          <w:szCs w:val="28"/>
        </w:rPr>
        <w:t>）其他</w:t>
      </w:r>
    </w:p>
    <w:p w14:paraId="4796494E">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当</w:t>
      </w:r>
      <w:r>
        <w:rPr>
          <w:rFonts w:hint="eastAsia" w:ascii="宋体" w:hAnsi="宋体" w:cs="宋体"/>
          <w:color w:val="auto"/>
          <w:sz w:val="28"/>
          <w:szCs w:val="28"/>
          <w:lang w:val="zh-CN"/>
        </w:rPr>
        <w:t>成交</w:t>
      </w:r>
      <w:r>
        <w:rPr>
          <w:rFonts w:hint="eastAsia" w:ascii="宋体" w:hAnsi="宋体" w:cs="宋体"/>
          <w:color w:val="auto"/>
          <w:sz w:val="28"/>
          <w:szCs w:val="28"/>
        </w:rPr>
        <w:t>候选人无正当理由放弃</w:t>
      </w:r>
      <w:r>
        <w:rPr>
          <w:rFonts w:hint="eastAsia" w:ascii="宋体" w:hAnsi="宋体" w:cs="宋体"/>
          <w:color w:val="auto"/>
          <w:sz w:val="28"/>
          <w:szCs w:val="28"/>
          <w:lang w:val="zh-CN"/>
        </w:rPr>
        <w:t>成交</w:t>
      </w:r>
      <w:r>
        <w:rPr>
          <w:rFonts w:hint="eastAsia" w:ascii="宋体" w:hAnsi="宋体" w:cs="宋体"/>
          <w:color w:val="auto"/>
          <w:sz w:val="28"/>
          <w:szCs w:val="28"/>
        </w:rPr>
        <w:t>，被查实存在影响</w:t>
      </w:r>
      <w:r>
        <w:rPr>
          <w:rFonts w:hint="eastAsia" w:ascii="宋体" w:hAnsi="宋体" w:cs="宋体"/>
          <w:color w:val="auto"/>
          <w:sz w:val="28"/>
          <w:szCs w:val="28"/>
          <w:lang w:val="zh-CN"/>
        </w:rPr>
        <w:t>成交</w:t>
      </w:r>
      <w:r>
        <w:rPr>
          <w:rFonts w:hint="eastAsia" w:ascii="宋体" w:hAnsi="宋体" w:cs="宋体"/>
          <w:color w:val="auto"/>
          <w:sz w:val="28"/>
          <w:szCs w:val="28"/>
        </w:rPr>
        <w:t>结果的违法行为等情形，采购人有权按照相关法律法规的规定对其采取惩戒措施，包含但不限于列入采购失信人黑名单等措施。</w:t>
      </w:r>
    </w:p>
    <w:p w14:paraId="2E173CC7">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当</w:t>
      </w:r>
      <w:r>
        <w:rPr>
          <w:rFonts w:hint="eastAsia" w:ascii="宋体" w:hAnsi="宋体" w:cs="宋体"/>
          <w:color w:val="auto"/>
          <w:sz w:val="28"/>
          <w:szCs w:val="28"/>
          <w:lang w:val="zh-CN"/>
        </w:rPr>
        <w:t>成交</w:t>
      </w:r>
      <w:r>
        <w:rPr>
          <w:rFonts w:hint="eastAsia" w:ascii="宋体" w:hAnsi="宋体" w:cs="宋体"/>
          <w:color w:val="auto"/>
          <w:sz w:val="28"/>
          <w:szCs w:val="28"/>
        </w:rPr>
        <w:t>候选人放弃</w:t>
      </w:r>
      <w:r>
        <w:rPr>
          <w:rFonts w:hint="eastAsia" w:ascii="宋体" w:hAnsi="宋体" w:cs="宋体"/>
          <w:color w:val="auto"/>
          <w:sz w:val="28"/>
          <w:szCs w:val="28"/>
          <w:lang w:val="zh-CN"/>
        </w:rPr>
        <w:t>成交</w:t>
      </w:r>
      <w:r>
        <w:rPr>
          <w:rFonts w:hint="eastAsia" w:ascii="宋体" w:hAnsi="宋体" w:cs="宋体"/>
          <w:color w:val="auto"/>
          <w:sz w:val="28"/>
          <w:szCs w:val="28"/>
        </w:rPr>
        <w:t>、因不可抗力不能履行合同，或者被查实存在影响</w:t>
      </w:r>
      <w:r>
        <w:rPr>
          <w:rFonts w:hint="eastAsia" w:ascii="宋体" w:hAnsi="宋体" w:cs="宋体"/>
          <w:color w:val="auto"/>
          <w:sz w:val="28"/>
          <w:szCs w:val="28"/>
          <w:lang w:val="zh-CN"/>
        </w:rPr>
        <w:t>成交</w:t>
      </w:r>
      <w:r>
        <w:rPr>
          <w:rFonts w:hint="eastAsia" w:ascii="宋体" w:hAnsi="宋体" w:cs="宋体"/>
          <w:color w:val="auto"/>
          <w:sz w:val="28"/>
          <w:szCs w:val="28"/>
        </w:rPr>
        <w:t>结果的违法行为等情形，不符合</w:t>
      </w:r>
      <w:r>
        <w:rPr>
          <w:rFonts w:hint="eastAsia" w:ascii="宋体" w:hAnsi="宋体" w:cs="宋体"/>
          <w:color w:val="auto"/>
          <w:sz w:val="28"/>
          <w:szCs w:val="28"/>
          <w:lang w:val="zh-CN"/>
        </w:rPr>
        <w:t>成交</w:t>
      </w:r>
      <w:r>
        <w:rPr>
          <w:rFonts w:hint="eastAsia" w:ascii="宋体" w:hAnsi="宋体" w:cs="宋体"/>
          <w:color w:val="auto"/>
          <w:sz w:val="28"/>
          <w:szCs w:val="28"/>
        </w:rPr>
        <w:t>条件的，</w:t>
      </w:r>
      <w:r>
        <w:rPr>
          <w:rFonts w:hint="eastAsia" w:ascii="宋体" w:hAnsi="宋体" w:cs="宋体"/>
          <w:color w:val="auto"/>
          <w:sz w:val="28"/>
          <w:szCs w:val="28"/>
          <w:lang w:eastAsia="zh-CN"/>
        </w:rPr>
        <w:t>采购人</w:t>
      </w:r>
      <w:r>
        <w:rPr>
          <w:rFonts w:hint="eastAsia" w:ascii="宋体" w:hAnsi="宋体" w:cs="宋体"/>
          <w:color w:val="auto"/>
          <w:sz w:val="28"/>
          <w:szCs w:val="28"/>
        </w:rPr>
        <w:t>重新</w:t>
      </w:r>
      <w:r>
        <w:rPr>
          <w:rFonts w:hint="eastAsia" w:ascii="宋体" w:hAnsi="宋体" w:cs="宋体"/>
          <w:color w:val="auto"/>
          <w:sz w:val="28"/>
          <w:szCs w:val="28"/>
          <w:lang w:eastAsia="zh-CN"/>
        </w:rPr>
        <w:t>采购</w:t>
      </w:r>
      <w:r>
        <w:rPr>
          <w:rFonts w:hint="eastAsia" w:ascii="宋体" w:hAnsi="宋体" w:cs="宋体"/>
          <w:color w:val="auto"/>
          <w:sz w:val="28"/>
          <w:szCs w:val="28"/>
        </w:rPr>
        <w:t>。</w:t>
      </w:r>
    </w:p>
    <w:p w14:paraId="4E62760E">
      <w:pPr>
        <w:adjustRightInd w:val="0"/>
        <w:snapToGrid w:val="0"/>
        <w:spacing w:line="360" w:lineRule="auto"/>
        <w:jc w:val="center"/>
        <w:outlineLvl w:val="0"/>
        <w:rPr>
          <w:rFonts w:hint="eastAsia" w:ascii="宋体" w:hAnsi="宋体" w:cs="宋体"/>
          <w:b/>
          <w:color w:val="auto"/>
          <w:sz w:val="28"/>
          <w:szCs w:val="28"/>
        </w:rPr>
      </w:pPr>
      <w:r>
        <w:rPr>
          <w:rFonts w:hint="eastAsia" w:ascii="宋体" w:hAnsi="宋体" w:cs="宋体"/>
          <w:b/>
          <w:color w:val="auto"/>
          <w:sz w:val="36"/>
          <w:szCs w:val="36"/>
        </w:rPr>
        <w:br w:type="page"/>
      </w:r>
      <w:r>
        <w:rPr>
          <w:rFonts w:hint="eastAsia" w:ascii="宋体" w:hAnsi="宋体" w:cs="宋体"/>
          <w:bCs/>
          <w:color w:val="auto"/>
          <w:sz w:val="36"/>
          <w:szCs w:val="36"/>
        </w:rPr>
        <w:t>第五部分 响应文件组成</w:t>
      </w:r>
    </w:p>
    <w:p w14:paraId="199AE71D">
      <w:pPr>
        <w:adjustRightInd w:val="0"/>
        <w:snapToGrid w:val="0"/>
        <w:spacing w:line="460" w:lineRule="exact"/>
        <w:ind w:firstLine="562" w:firstLineChars="200"/>
        <w:jc w:val="left"/>
        <w:rPr>
          <w:rFonts w:hint="eastAsia" w:ascii="宋体" w:hAnsi="宋体" w:cs="宋体"/>
          <w:b/>
          <w:color w:val="auto"/>
          <w:sz w:val="28"/>
          <w:szCs w:val="28"/>
        </w:rPr>
      </w:pPr>
      <w:r>
        <w:rPr>
          <w:rFonts w:hint="eastAsia" w:ascii="宋体" w:hAnsi="宋体" w:cs="宋体"/>
          <w:b/>
          <w:color w:val="auto"/>
          <w:sz w:val="28"/>
          <w:szCs w:val="28"/>
        </w:rPr>
        <w:t>响应文件由资格审查文件、商务技术文件、价格文件、电子响应文件四部分组成。</w:t>
      </w:r>
    </w:p>
    <w:p w14:paraId="731180BF">
      <w:pPr>
        <w:adjustRightInd w:val="0"/>
        <w:snapToGrid w:val="0"/>
        <w:spacing w:line="460" w:lineRule="exact"/>
        <w:ind w:firstLine="562" w:firstLineChars="200"/>
        <w:outlineLvl w:val="1"/>
        <w:rPr>
          <w:rFonts w:hint="eastAsia" w:ascii="宋体" w:hAnsi="宋体" w:cs="宋体"/>
          <w:b/>
          <w:bCs/>
          <w:color w:val="auto"/>
          <w:kern w:val="0"/>
          <w:sz w:val="28"/>
          <w:szCs w:val="28"/>
          <w:lang w:val="zh-CN"/>
        </w:rPr>
      </w:pPr>
      <w:r>
        <w:rPr>
          <w:rFonts w:hint="eastAsia" w:ascii="宋体" w:hAnsi="宋体" w:cs="宋体"/>
          <w:b/>
          <w:bCs/>
          <w:color w:val="auto"/>
          <w:kern w:val="0"/>
          <w:sz w:val="28"/>
          <w:szCs w:val="28"/>
          <w:lang w:val="zh-CN"/>
        </w:rPr>
        <w:t>一、资格审查文件（不能出现商务技术文件、价格文件）</w:t>
      </w:r>
    </w:p>
    <w:p w14:paraId="0CF93F31">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1.</w:t>
      </w:r>
      <w:r>
        <w:rPr>
          <w:rFonts w:hint="eastAsia" w:ascii="宋体" w:hAnsi="宋体" w:cs="宋体"/>
          <w:color w:val="auto"/>
          <w:kern w:val="0"/>
          <w:sz w:val="28"/>
          <w:szCs w:val="28"/>
          <w:lang w:eastAsia="zh-CN"/>
        </w:rPr>
        <w:t>供应商</w:t>
      </w:r>
      <w:r>
        <w:rPr>
          <w:rFonts w:hint="eastAsia" w:ascii="宋体" w:hAnsi="宋体" w:cs="宋体"/>
          <w:color w:val="auto"/>
          <w:kern w:val="0"/>
          <w:sz w:val="28"/>
          <w:szCs w:val="28"/>
        </w:rPr>
        <w:t>符合本项目</w:t>
      </w:r>
      <w:r>
        <w:rPr>
          <w:rFonts w:hint="eastAsia" w:ascii="宋体" w:hAnsi="宋体" w:cs="宋体"/>
          <w:color w:val="auto"/>
          <w:kern w:val="0"/>
          <w:sz w:val="28"/>
          <w:szCs w:val="28"/>
          <w:lang w:eastAsia="zh-CN"/>
        </w:rPr>
        <w:t>供应商</w:t>
      </w:r>
      <w:r>
        <w:rPr>
          <w:rFonts w:hint="eastAsia" w:ascii="宋体" w:hAnsi="宋体" w:cs="宋体"/>
          <w:color w:val="auto"/>
          <w:kern w:val="0"/>
          <w:sz w:val="28"/>
          <w:szCs w:val="28"/>
        </w:rPr>
        <w:t>资格要求的承诺函</w:t>
      </w:r>
      <w:r>
        <w:rPr>
          <w:rFonts w:hint="eastAsia" w:ascii="宋体" w:hAnsi="宋体" w:cs="宋体"/>
          <w:color w:val="auto"/>
          <w:kern w:val="0"/>
          <w:sz w:val="28"/>
          <w:szCs w:val="28"/>
          <w:lang w:val="zh-CN"/>
        </w:rPr>
        <w:t>（格式见附件1）；</w:t>
      </w:r>
    </w:p>
    <w:p w14:paraId="40800D5A">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2.法定代表人身份证明书（格式见附件2）；</w:t>
      </w:r>
    </w:p>
    <w:p w14:paraId="3993BBAD">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3.法定代表人授权委托书原件，磋商代表本人身份证复印件（格式见附件3）；</w:t>
      </w:r>
    </w:p>
    <w:p w14:paraId="4A5FAE7E">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4.提供营业执照副本复印件并加盖公章；</w:t>
      </w:r>
    </w:p>
    <w:p w14:paraId="55CF7BE5">
      <w:pPr>
        <w:adjustRightInd w:val="0"/>
        <w:snapToGrid w:val="0"/>
        <w:spacing w:line="460" w:lineRule="exact"/>
        <w:ind w:firstLine="562" w:firstLineChars="200"/>
        <w:outlineLvl w:val="1"/>
        <w:rPr>
          <w:rFonts w:hint="eastAsia" w:ascii="宋体" w:hAnsi="宋体" w:cs="宋体"/>
          <w:b/>
          <w:bCs/>
          <w:color w:val="auto"/>
          <w:kern w:val="0"/>
          <w:sz w:val="28"/>
          <w:szCs w:val="28"/>
          <w:lang w:val="zh-CN"/>
        </w:rPr>
      </w:pPr>
      <w:r>
        <w:rPr>
          <w:rFonts w:hint="eastAsia" w:ascii="宋体" w:hAnsi="宋体" w:cs="宋体"/>
          <w:b/>
          <w:bCs/>
          <w:color w:val="auto"/>
          <w:kern w:val="0"/>
          <w:sz w:val="28"/>
          <w:szCs w:val="28"/>
          <w:lang w:val="zh-CN"/>
        </w:rPr>
        <w:t>二、商务技术文件（不能出现价格文件）</w:t>
      </w:r>
    </w:p>
    <w:p w14:paraId="1637F16D">
      <w:pPr>
        <w:adjustRightInd w:val="0"/>
        <w:snapToGri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业绩、方案</w:t>
      </w:r>
      <w:r>
        <w:rPr>
          <w:rFonts w:hint="eastAsia" w:ascii="宋体" w:hAnsi="宋体" w:cs="宋体"/>
          <w:color w:val="auto"/>
          <w:kern w:val="0"/>
          <w:sz w:val="28"/>
          <w:szCs w:val="28"/>
        </w:rPr>
        <w:t>等；</w:t>
      </w:r>
    </w:p>
    <w:p w14:paraId="4B774A66">
      <w:pPr>
        <w:adjustRightInd w:val="0"/>
        <w:snapToGrid w:val="0"/>
        <w:spacing w:line="4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val="en-US" w:eastAsia="zh-CN"/>
        </w:rPr>
        <w:t>2</w:t>
      </w:r>
      <w:r>
        <w:rPr>
          <w:rFonts w:hint="eastAsia" w:ascii="宋体" w:hAnsi="宋体" w:cs="宋体"/>
          <w:color w:val="auto"/>
          <w:kern w:val="0"/>
          <w:sz w:val="28"/>
          <w:szCs w:val="28"/>
        </w:rPr>
        <w:t>.提供拟派驻人员学历证明、工作年限证明材料和与供应商直接签订的劳务合同，并承诺派驻该人员驻场，提供承诺函（格式自拟）</w:t>
      </w:r>
      <w:r>
        <w:rPr>
          <w:rFonts w:hint="eastAsia" w:ascii="宋体" w:hAnsi="宋体" w:cs="宋体"/>
          <w:color w:val="auto"/>
          <w:kern w:val="0"/>
          <w:sz w:val="28"/>
          <w:szCs w:val="28"/>
          <w:lang w:eastAsia="zh-CN"/>
        </w:rPr>
        <w:t>；</w:t>
      </w:r>
    </w:p>
    <w:p w14:paraId="532FBCB4">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lang w:val="zh-CN"/>
        </w:rPr>
        <w:t>为方便评委评审，请供应商按评审办法中所涉及的事项顺序进行编制，可以补充相关材料；</w:t>
      </w:r>
    </w:p>
    <w:p w14:paraId="79B42FA9">
      <w:pPr>
        <w:adjustRightInd w:val="0"/>
        <w:snapToGrid w:val="0"/>
        <w:spacing w:line="460" w:lineRule="exact"/>
        <w:ind w:firstLine="560" w:firstLineChars="200"/>
        <w:rPr>
          <w:rFonts w:hint="eastAsia" w:ascii="宋体" w:hAnsi="宋体" w:cs="宋体"/>
          <w:bCs/>
          <w:color w:val="auto"/>
          <w:kern w:val="0"/>
          <w:sz w:val="28"/>
          <w:szCs w:val="28"/>
          <w:lang w:val="zh-CN"/>
        </w:rPr>
      </w:pPr>
      <w:r>
        <w:rPr>
          <w:rFonts w:hint="eastAsia" w:ascii="宋体" w:hAnsi="宋体" w:cs="宋体"/>
          <w:color w:val="auto"/>
          <w:kern w:val="0"/>
          <w:sz w:val="28"/>
          <w:szCs w:val="28"/>
          <w:lang w:val="en-US" w:eastAsia="zh-CN"/>
        </w:rPr>
        <w:t>4</w:t>
      </w:r>
      <w:r>
        <w:rPr>
          <w:rFonts w:hint="eastAsia" w:ascii="宋体" w:hAnsi="宋体" w:cs="宋体"/>
          <w:color w:val="auto"/>
          <w:kern w:val="0"/>
          <w:sz w:val="28"/>
          <w:szCs w:val="28"/>
          <w:lang w:val="zh-CN"/>
        </w:rPr>
        <w:t>.评审办法中未涉及的事项，供应商认为需要提交的其他资料。</w:t>
      </w:r>
    </w:p>
    <w:p w14:paraId="01EA75C2">
      <w:pPr>
        <w:adjustRightInd w:val="0"/>
        <w:snapToGrid w:val="0"/>
        <w:spacing w:line="460" w:lineRule="exact"/>
        <w:ind w:firstLine="562" w:firstLineChars="200"/>
        <w:outlineLvl w:val="1"/>
        <w:rPr>
          <w:rFonts w:hint="eastAsia" w:ascii="宋体" w:hAnsi="宋体" w:cs="宋体"/>
          <w:b/>
          <w:bCs/>
          <w:color w:val="auto"/>
          <w:kern w:val="0"/>
          <w:sz w:val="28"/>
          <w:szCs w:val="28"/>
          <w:lang w:val="zh-CN"/>
        </w:rPr>
      </w:pPr>
      <w:r>
        <w:rPr>
          <w:rFonts w:hint="eastAsia" w:ascii="宋体" w:hAnsi="宋体" w:cs="宋体"/>
          <w:b/>
          <w:bCs/>
          <w:color w:val="auto"/>
          <w:kern w:val="0"/>
          <w:sz w:val="28"/>
          <w:szCs w:val="28"/>
          <w:lang w:val="zh-CN"/>
        </w:rPr>
        <w:t>三、价格文件</w:t>
      </w:r>
    </w:p>
    <w:p w14:paraId="2CF58BEC">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1.</w:t>
      </w:r>
      <w:r>
        <w:rPr>
          <w:rFonts w:hint="eastAsia" w:ascii="宋体" w:hAnsi="宋体" w:cs="宋体"/>
          <w:color w:val="auto"/>
          <w:kern w:val="0"/>
          <w:sz w:val="28"/>
          <w:szCs w:val="28"/>
          <w:lang w:val="zh-CN" w:eastAsia="zh-CN"/>
        </w:rPr>
        <w:t>报价总表</w:t>
      </w:r>
      <w:r>
        <w:rPr>
          <w:rFonts w:hint="eastAsia" w:ascii="宋体" w:hAnsi="宋体" w:cs="宋体"/>
          <w:color w:val="auto"/>
          <w:kern w:val="0"/>
          <w:sz w:val="28"/>
          <w:szCs w:val="28"/>
          <w:lang w:val="zh-CN"/>
        </w:rPr>
        <w:t>（格式见附件</w:t>
      </w:r>
      <w:r>
        <w:rPr>
          <w:rFonts w:hint="eastAsia" w:ascii="宋体" w:hAnsi="宋体" w:cs="宋体"/>
          <w:color w:val="auto"/>
          <w:kern w:val="0"/>
          <w:sz w:val="28"/>
          <w:szCs w:val="28"/>
          <w:lang w:val="en-US" w:eastAsia="zh-CN"/>
        </w:rPr>
        <w:t>4</w:t>
      </w:r>
      <w:r>
        <w:rPr>
          <w:rFonts w:hint="eastAsia" w:ascii="宋体" w:hAnsi="宋体" w:cs="宋体"/>
          <w:color w:val="auto"/>
          <w:kern w:val="0"/>
          <w:sz w:val="28"/>
          <w:szCs w:val="28"/>
          <w:lang w:val="zh-CN"/>
        </w:rPr>
        <w:t>）；</w:t>
      </w:r>
    </w:p>
    <w:p w14:paraId="5329291E">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2.分项报价表</w:t>
      </w:r>
      <w:r>
        <w:rPr>
          <w:rFonts w:hint="eastAsia" w:ascii="宋体" w:hAnsi="宋体" w:cs="宋体"/>
          <w:color w:val="auto"/>
          <w:kern w:val="0"/>
          <w:sz w:val="28"/>
          <w:szCs w:val="28"/>
          <w:lang w:val="zh-CN"/>
        </w:rPr>
        <w:t>（格式见附件</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lang w:val="zh-CN"/>
        </w:rPr>
        <w:t>）</w:t>
      </w:r>
      <w:r>
        <w:rPr>
          <w:rFonts w:hint="eastAsia" w:ascii="宋体" w:hAnsi="宋体" w:cs="宋体"/>
          <w:color w:val="auto"/>
          <w:kern w:val="0"/>
          <w:sz w:val="28"/>
          <w:szCs w:val="28"/>
        </w:rPr>
        <w:t>；</w:t>
      </w:r>
    </w:p>
    <w:p w14:paraId="17558204">
      <w:pPr>
        <w:adjustRightInd w:val="0"/>
        <w:snapToGrid w:val="0"/>
        <w:spacing w:line="460" w:lineRule="exact"/>
        <w:ind w:firstLine="560" w:firstLineChars="200"/>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3.小微企业声明函</w:t>
      </w:r>
      <w:r>
        <w:rPr>
          <w:rFonts w:hint="eastAsia" w:ascii="宋体" w:hAnsi="宋体" w:cs="宋体"/>
          <w:color w:val="auto"/>
          <w:kern w:val="0"/>
          <w:sz w:val="28"/>
          <w:szCs w:val="28"/>
          <w:lang w:val="zh-CN"/>
        </w:rPr>
        <w:t>（格式见附件</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lang w:val="zh-CN"/>
        </w:rPr>
        <w:t>）；</w:t>
      </w:r>
    </w:p>
    <w:p w14:paraId="2313190E">
      <w:pPr>
        <w:adjustRightInd w:val="0"/>
        <w:snapToGrid w:val="0"/>
        <w:spacing w:line="460" w:lineRule="exact"/>
        <w:ind w:firstLine="560" w:firstLineChars="200"/>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4.残疾人福利性单位声明函</w:t>
      </w:r>
      <w:r>
        <w:rPr>
          <w:rFonts w:hint="eastAsia" w:ascii="宋体" w:hAnsi="宋体" w:cs="宋体"/>
          <w:color w:val="auto"/>
          <w:kern w:val="0"/>
          <w:sz w:val="28"/>
          <w:szCs w:val="28"/>
          <w:lang w:val="zh-CN"/>
        </w:rPr>
        <w:t>（格式见附件</w:t>
      </w: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lang w:val="zh-CN"/>
        </w:rPr>
        <w:t>）；</w:t>
      </w:r>
    </w:p>
    <w:p w14:paraId="3CC3456F">
      <w:pPr>
        <w:adjustRightInd w:val="0"/>
        <w:snapToGrid w:val="0"/>
        <w:spacing w:line="460" w:lineRule="exact"/>
        <w:ind w:firstLine="560" w:firstLineChars="200"/>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5.监狱和戒毒企业证明材料</w:t>
      </w:r>
      <w:r>
        <w:rPr>
          <w:rFonts w:hint="eastAsia" w:ascii="宋体" w:hAnsi="宋体" w:cs="宋体"/>
          <w:color w:val="auto"/>
          <w:kern w:val="0"/>
          <w:sz w:val="28"/>
          <w:szCs w:val="28"/>
          <w:lang w:val="zh-CN"/>
        </w:rPr>
        <w:t>（格式见附件</w:t>
      </w: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lang w:val="zh-CN"/>
        </w:rPr>
        <w:t>）；</w:t>
      </w:r>
    </w:p>
    <w:p w14:paraId="3409E8A9">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w:t>
      </w:r>
      <w:r>
        <w:rPr>
          <w:rFonts w:hint="eastAsia" w:ascii="宋体" w:hAnsi="宋体" w:cs="宋体"/>
          <w:color w:val="auto"/>
          <w:kern w:val="0"/>
          <w:sz w:val="28"/>
          <w:szCs w:val="28"/>
          <w:lang w:val="zh-CN"/>
        </w:rPr>
        <w:t>供应商信用承诺书（格式见附件</w:t>
      </w:r>
      <w:r>
        <w:rPr>
          <w:rFonts w:hint="eastAsia" w:ascii="宋体" w:hAnsi="宋体" w:cs="宋体"/>
          <w:color w:val="auto"/>
          <w:kern w:val="0"/>
          <w:sz w:val="28"/>
          <w:szCs w:val="28"/>
          <w:lang w:val="en-US" w:eastAsia="zh-CN"/>
        </w:rPr>
        <w:t>9</w:t>
      </w:r>
      <w:r>
        <w:rPr>
          <w:rFonts w:hint="eastAsia" w:ascii="宋体" w:hAnsi="宋体" w:cs="宋体"/>
          <w:color w:val="auto"/>
          <w:kern w:val="0"/>
          <w:sz w:val="28"/>
          <w:szCs w:val="28"/>
          <w:lang w:val="zh-CN"/>
        </w:rPr>
        <w:t>）。</w:t>
      </w:r>
    </w:p>
    <w:p w14:paraId="1DE49699">
      <w:pPr>
        <w:adjustRightInd w:val="0"/>
        <w:snapToGrid w:val="0"/>
        <w:spacing w:line="460" w:lineRule="exact"/>
        <w:ind w:firstLine="562" w:firstLineChars="200"/>
        <w:outlineLvl w:val="1"/>
        <w:rPr>
          <w:rFonts w:hint="eastAsia" w:ascii="宋体" w:hAnsi="宋体" w:cs="宋体"/>
          <w:color w:val="auto"/>
          <w:kern w:val="0"/>
          <w:sz w:val="28"/>
          <w:szCs w:val="28"/>
        </w:rPr>
      </w:pPr>
      <w:r>
        <w:rPr>
          <w:rFonts w:hint="eastAsia" w:ascii="宋体" w:hAnsi="宋体" w:cs="宋体"/>
          <w:b/>
          <w:bCs/>
          <w:color w:val="auto"/>
          <w:kern w:val="0"/>
          <w:sz w:val="28"/>
          <w:szCs w:val="28"/>
        </w:rPr>
        <w:t>四、电子响应文件（一份）</w:t>
      </w:r>
    </w:p>
    <w:p w14:paraId="32A4A630">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rPr>
        <w:t>电子响应文件的内容为“资格审查文件、商务技术文件、价格文件”的打印盖章后的响应文件的扫描件（资格审查文件、商务技术文件、价格文件需分别逐页连续扫描为三个独立的PDF文件）。</w:t>
      </w:r>
    </w:p>
    <w:p w14:paraId="6EB82B77">
      <w:pPr>
        <w:snapToGrid w:val="0"/>
        <w:spacing w:line="360" w:lineRule="auto"/>
        <w:ind w:firstLine="540" w:firstLineChars="192"/>
        <w:contextualSpacing/>
        <w:rPr>
          <w:rFonts w:hint="eastAsia" w:ascii="宋体" w:hAnsi="宋体" w:cs="宋体"/>
          <w:b/>
          <w:color w:val="auto"/>
          <w:kern w:val="0"/>
          <w:sz w:val="28"/>
          <w:szCs w:val="28"/>
        </w:rPr>
      </w:pPr>
    </w:p>
    <w:p w14:paraId="36A1C471">
      <w:pPr>
        <w:rPr>
          <w:rFonts w:hint="eastAsia" w:ascii="宋体" w:hAnsi="宋体" w:cs="宋体"/>
          <w:color w:val="auto"/>
          <w:kern w:val="0"/>
          <w:sz w:val="32"/>
          <w:szCs w:val="32"/>
          <w:lang w:val="zh-CN"/>
        </w:rPr>
      </w:pPr>
      <w:r>
        <w:rPr>
          <w:rFonts w:hint="eastAsia" w:ascii="宋体" w:hAnsi="宋体" w:cs="宋体"/>
          <w:color w:val="auto"/>
          <w:kern w:val="0"/>
          <w:sz w:val="32"/>
          <w:szCs w:val="32"/>
          <w:lang w:val="zh-CN"/>
        </w:rPr>
        <w:br w:type="page"/>
      </w:r>
    </w:p>
    <w:p w14:paraId="6265EBD5">
      <w:pPr>
        <w:snapToGrid w:val="0"/>
        <w:spacing w:line="360" w:lineRule="auto"/>
        <w:contextualSpacing/>
        <w:rPr>
          <w:rFonts w:hint="eastAsia" w:ascii="宋体" w:hAnsi="宋体" w:cs="宋体"/>
          <w:b/>
          <w:color w:val="auto"/>
          <w:sz w:val="30"/>
          <w:szCs w:val="30"/>
        </w:rPr>
      </w:pPr>
      <w:r>
        <w:rPr>
          <w:rFonts w:hint="eastAsia" w:ascii="宋体" w:hAnsi="宋体" w:cs="宋体"/>
          <w:color w:val="auto"/>
          <w:kern w:val="0"/>
          <w:sz w:val="32"/>
          <w:szCs w:val="32"/>
          <w:lang w:val="zh-CN"/>
        </w:rPr>
        <w:t>附件1</w:t>
      </w:r>
    </w:p>
    <w:p w14:paraId="6701368C">
      <w:pPr>
        <w:spacing w:line="360" w:lineRule="auto"/>
        <w:jc w:val="center"/>
        <w:rPr>
          <w:rFonts w:hint="eastAsia" w:ascii="宋体" w:hAnsi="宋体" w:cs="宋体"/>
          <w:b/>
          <w:color w:val="auto"/>
          <w:sz w:val="30"/>
          <w:szCs w:val="30"/>
        </w:rPr>
      </w:pPr>
      <w:r>
        <w:rPr>
          <w:rFonts w:hint="eastAsia" w:ascii="宋体" w:hAnsi="宋体" w:cs="宋体"/>
          <w:b/>
          <w:color w:val="auto"/>
          <w:sz w:val="30"/>
          <w:szCs w:val="30"/>
          <w:lang w:eastAsia="zh-CN"/>
        </w:rPr>
        <w:t>供应商</w:t>
      </w:r>
      <w:r>
        <w:rPr>
          <w:rFonts w:hint="eastAsia" w:ascii="宋体" w:hAnsi="宋体" w:cs="宋体"/>
          <w:b/>
          <w:color w:val="auto"/>
          <w:sz w:val="30"/>
          <w:szCs w:val="30"/>
        </w:rPr>
        <w:t>符合本项目</w:t>
      </w:r>
      <w:r>
        <w:rPr>
          <w:rFonts w:hint="eastAsia" w:ascii="宋体" w:hAnsi="宋体" w:cs="宋体"/>
          <w:b/>
          <w:color w:val="auto"/>
          <w:sz w:val="30"/>
          <w:szCs w:val="30"/>
          <w:lang w:eastAsia="zh-CN"/>
        </w:rPr>
        <w:t>供应商</w:t>
      </w:r>
      <w:r>
        <w:rPr>
          <w:rFonts w:hint="eastAsia" w:ascii="宋体" w:hAnsi="宋体" w:cs="宋体"/>
          <w:b/>
          <w:color w:val="auto"/>
          <w:sz w:val="30"/>
          <w:szCs w:val="30"/>
        </w:rPr>
        <w:t>资格要求的承诺函</w:t>
      </w:r>
    </w:p>
    <w:p w14:paraId="19F9383F">
      <w:pPr>
        <w:spacing w:line="360" w:lineRule="auto"/>
        <w:rPr>
          <w:rFonts w:hint="eastAsia" w:ascii="宋体" w:hAnsi="宋体" w:cs="宋体"/>
          <w:b/>
          <w:bCs/>
          <w:color w:val="auto"/>
          <w:sz w:val="44"/>
          <w:szCs w:val="44"/>
        </w:rPr>
      </w:pPr>
      <w:r>
        <w:rPr>
          <w:rFonts w:hint="eastAsia" w:ascii="宋体" w:hAnsi="宋体" w:cs="宋体"/>
          <w:b/>
          <w:bCs/>
          <w:color w:val="auto"/>
          <w:sz w:val="24"/>
          <w:szCs w:val="21"/>
        </w:rPr>
        <w:t xml:space="preserve">                       </w:t>
      </w:r>
      <w:r>
        <w:rPr>
          <w:rFonts w:hint="eastAsia" w:ascii="宋体" w:hAnsi="宋体" w:cs="宋体"/>
          <w:b/>
          <w:bCs/>
          <w:color w:val="auto"/>
          <w:sz w:val="44"/>
          <w:szCs w:val="44"/>
        </w:rPr>
        <w:t xml:space="preserve">   </w:t>
      </w:r>
    </w:p>
    <w:p w14:paraId="60D6262B">
      <w:pPr>
        <w:spacing w:line="360" w:lineRule="auto"/>
        <w:ind w:firstLine="480" w:firstLineChars="200"/>
        <w:rPr>
          <w:rFonts w:hint="eastAsia" w:ascii="宋体" w:hAnsi="宋体" w:cs="宋体"/>
          <w:b/>
          <w:bCs/>
          <w:color w:val="auto"/>
          <w:sz w:val="24"/>
        </w:rPr>
      </w:pPr>
      <w:r>
        <w:rPr>
          <w:rFonts w:hint="eastAsia" w:ascii="宋体" w:hAnsi="宋体" w:cs="宋体"/>
          <w:bCs/>
          <w:color w:val="auto"/>
          <w:sz w:val="24"/>
        </w:rPr>
        <w:t>我单位参加</w:t>
      </w:r>
      <w:r>
        <w:rPr>
          <w:rFonts w:hint="eastAsia" w:ascii="宋体" w:hAnsi="宋体" w:cs="宋体"/>
          <w:bCs/>
          <w:color w:val="auto"/>
          <w:sz w:val="24"/>
          <w:szCs w:val="21"/>
          <w:u w:val="single"/>
        </w:rPr>
        <w:t>________________ _</w:t>
      </w:r>
      <w:r>
        <w:rPr>
          <w:rFonts w:hint="eastAsia" w:ascii="宋体" w:hAnsi="宋体" w:cs="宋体"/>
          <w:bCs/>
          <w:color w:val="auto"/>
          <w:sz w:val="24"/>
          <w:szCs w:val="21"/>
        </w:rPr>
        <w:t>（项目名称），</w:t>
      </w:r>
      <w:r>
        <w:rPr>
          <w:rFonts w:hint="eastAsia" w:ascii="宋体" w:hAnsi="宋体" w:cs="宋体"/>
          <w:bCs/>
          <w:color w:val="auto"/>
          <w:sz w:val="24"/>
          <w:szCs w:val="21"/>
          <w:u w:val="single"/>
        </w:rPr>
        <w:t>_______ __________</w:t>
      </w:r>
      <w:r>
        <w:rPr>
          <w:rFonts w:hint="eastAsia" w:ascii="宋体" w:hAnsi="宋体" w:cs="宋体"/>
          <w:bCs/>
          <w:color w:val="auto"/>
          <w:sz w:val="24"/>
          <w:szCs w:val="21"/>
        </w:rPr>
        <w:t>（项目编号）投标活动。针对本项目</w:t>
      </w:r>
      <w:r>
        <w:rPr>
          <w:rFonts w:hint="eastAsia" w:ascii="宋体" w:hAnsi="宋体" w:cs="宋体"/>
          <w:bCs/>
          <w:color w:val="auto"/>
          <w:sz w:val="24"/>
          <w:szCs w:val="21"/>
          <w:lang w:eastAsia="zh-CN"/>
        </w:rPr>
        <w:t>供应商</w:t>
      </w:r>
      <w:r>
        <w:rPr>
          <w:rFonts w:hint="eastAsia" w:ascii="宋体" w:hAnsi="宋体" w:cs="宋体"/>
          <w:bCs/>
          <w:color w:val="auto"/>
          <w:sz w:val="24"/>
          <w:szCs w:val="21"/>
        </w:rPr>
        <w:t>资格要求做出如下承诺：</w:t>
      </w:r>
    </w:p>
    <w:p w14:paraId="18C98DF5">
      <w:pPr>
        <w:spacing w:line="360" w:lineRule="auto"/>
        <w:ind w:firstLine="480" w:firstLineChars="200"/>
        <w:rPr>
          <w:rFonts w:hint="eastAsia" w:ascii="宋体" w:hAnsi="宋体" w:cs="宋体"/>
          <w:color w:val="auto"/>
          <w:sz w:val="24"/>
        </w:rPr>
      </w:pPr>
      <w:r>
        <w:rPr>
          <w:rFonts w:hint="eastAsia" w:ascii="宋体" w:hAnsi="宋体" w:cs="宋体"/>
          <w:bCs/>
          <w:color w:val="auto"/>
          <w:sz w:val="24"/>
          <w:szCs w:val="21"/>
        </w:rPr>
        <w:t>1.我单位具有独立承担民事责任的能力；</w:t>
      </w:r>
    </w:p>
    <w:p w14:paraId="328F72AF">
      <w:pPr>
        <w:spacing w:line="360" w:lineRule="auto"/>
        <w:ind w:firstLine="480" w:firstLineChars="200"/>
        <w:rPr>
          <w:rFonts w:hint="eastAsia" w:ascii="宋体" w:hAnsi="宋体" w:cs="宋体"/>
          <w:color w:val="auto"/>
          <w:sz w:val="24"/>
        </w:rPr>
      </w:pPr>
      <w:r>
        <w:rPr>
          <w:rFonts w:hint="eastAsia" w:ascii="宋体" w:hAnsi="宋体" w:cs="宋体"/>
          <w:color w:val="auto"/>
          <w:sz w:val="24"/>
        </w:rPr>
        <w:t>2.我单位具有良好的商业信誉和健全的财务会计制度；</w:t>
      </w:r>
    </w:p>
    <w:p w14:paraId="5BC9CF9E">
      <w:pPr>
        <w:spacing w:line="360" w:lineRule="auto"/>
        <w:ind w:firstLine="480" w:firstLineChars="200"/>
        <w:rPr>
          <w:rFonts w:hint="eastAsia" w:ascii="宋体" w:hAnsi="宋体" w:cs="宋体"/>
          <w:color w:val="auto"/>
          <w:sz w:val="24"/>
        </w:rPr>
      </w:pPr>
      <w:r>
        <w:rPr>
          <w:rFonts w:hint="eastAsia" w:ascii="宋体" w:hAnsi="宋体" w:cs="宋体"/>
          <w:color w:val="auto"/>
          <w:sz w:val="24"/>
        </w:rPr>
        <w:t>3.我单位具有履行合同所必需的设备和专业技术能力；</w:t>
      </w:r>
    </w:p>
    <w:p w14:paraId="54A29922">
      <w:pPr>
        <w:spacing w:line="360" w:lineRule="auto"/>
        <w:ind w:firstLine="480" w:firstLineChars="200"/>
        <w:rPr>
          <w:rFonts w:hint="eastAsia" w:ascii="宋体" w:hAnsi="宋体" w:cs="宋体"/>
          <w:color w:val="auto"/>
          <w:sz w:val="24"/>
        </w:rPr>
      </w:pPr>
      <w:r>
        <w:rPr>
          <w:rFonts w:hint="eastAsia" w:ascii="宋体" w:hAnsi="宋体" w:cs="宋体"/>
          <w:color w:val="auto"/>
          <w:sz w:val="24"/>
        </w:rPr>
        <w:t>4.我单位有依法缴纳税收和社会保障资金的良好记录；</w:t>
      </w:r>
    </w:p>
    <w:p w14:paraId="1AB7C20A">
      <w:pPr>
        <w:spacing w:line="360" w:lineRule="auto"/>
        <w:ind w:firstLine="480" w:firstLineChars="200"/>
        <w:rPr>
          <w:rFonts w:hint="eastAsia" w:ascii="宋体" w:hAnsi="宋体" w:cs="宋体"/>
          <w:color w:val="auto"/>
          <w:sz w:val="24"/>
        </w:rPr>
      </w:pPr>
      <w:r>
        <w:rPr>
          <w:rFonts w:hint="eastAsia" w:ascii="宋体" w:hAnsi="宋体" w:cs="宋体"/>
          <w:color w:val="auto"/>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69DFF7A6">
      <w:pPr>
        <w:spacing w:line="360" w:lineRule="auto"/>
        <w:ind w:firstLine="480" w:firstLineChars="200"/>
        <w:rPr>
          <w:rFonts w:hint="eastAsia" w:ascii="宋体" w:hAnsi="宋体" w:cs="宋体"/>
          <w:color w:val="auto"/>
          <w:sz w:val="24"/>
        </w:rPr>
      </w:pPr>
      <w:r>
        <w:rPr>
          <w:rFonts w:hint="eastAsia" w:ascii="宋体" w:hAnsi="宋体" w:cs="宋体"/>
          <w:color w:val="auto"/>
          <w:sz w:val="24"/>
        </w:rPr>
        <w:t>6.我单位满足法律、行政法规规定的其他条件。</w:t>
      </w:r>
    </w:p>
    <w:p w14:paraId="4A3C180D">
      <w:pPr>
        <w:spacing w:line="360" w:lineRule="auto"/>
        <w:ind w:firstLine="480" w:firstLineChars="200"/>
        <w:rPr>
          <w:rFonts w:hint="eastAsia" w:ascii="宋体" w:hAnsi="宋体" w:cs="宋体"/>
          <w:color w:val="auto"/>
          <w:sz w:val="24"/>
        </w:rPr>
      </w:pPr>
    </w:p>
    <w:p w14:paraId="74A45716">
      <w:pPr>
        <w:spacing w:line="360" w:lineRule="auto"/>
        <w:ind w:firstLine="480" w:firstLineChars="200"/>
        <w:rPr>
          <w:rFonts w:hint="eastAsia" w:ascii="宋体" w:hAnsi="宋体" w:cs="宋体"/>
          <w:color w:val="auto"/>
          <w:sz w:val="24"/>
        </w:rPr>
      </w:pPr>
    </w:p>
    <w:p w14:paraId="1892CCED">
      <w:pPr>
        <w:spacing w:line="360" w:lineRule="auto"/>
        <w:ind w:firstLine="480" w:firstLineChars="200"/>
        <w:rPr>
          <w:rFonts w:hint="eastAsia" w:ascii="宋体" w:hAnsi="宋体" w:cs="宋体"/>
          <w:bCs/>
          <w:color w:val="auto"/>
          <w:sz w:val="24"/>
          <w:szCs w:val="21"/>
        </w:rPr>
      </w:pPr>
    </w:p>
    <w:p w14:paraId="5F82BA77">
      <w:pPr>
        <w:spacing w:line="360" w:lineRule="auto"/>
        <w:ind w:firstLine="480" w:firstLineChars="200"/>
        <w:rPr>
          <w:rFonts w:hint="eastAsia" w:ascii="宋体" w:hAnsi="宋体" w:cs="宋体"/>
          <w:bCs/>
          <w:color w:val="auto"/>
          <w:sz w:val="24"/>
          <w:szCs w:val="21"/>
        </w:rPr>
      </w:pPr>
    </w:p>
    <w:p w14:paraId="24E2132B">
      <w:pPr>
        <w:spacing w:line="360" w:lineRule="auto"/>
        <w:ind w:firstLine="480" w:firstLineChars="200"/>
        <w:rPr>
          <w:rFonts w:hint="eastAsia" w:ascii="宋体" w:hAnsi="宋体" w:cs="宋体"/>
          <w:bCs/>
          <w:color w:val="auto"/>
          <w:sz w:val="24"/>
          <w:szCs w:val="21"/>
        </w:rPr>
      </w:pPr>
    </w:p>
    <w:p w14:paraId="6ED70500">
      <w:pPr>
        <w:spacing w:line="360" w:lineRule="auto"/>
        <w:ind w:firstLine="480" w:firstLineChars="200"/>
        <w:jc w:val="center"/>
        <w:rPr>
          <w:rFonts w:hint="eastAsia" w:ascii="宋体" w:hAnsi="宋体" w:cs="宋体"/>
          <w:bCs/>
          <w:color w:val="auto"/>
          <w:sz w:val="24"/>
          <w:szCs w:val="21"/>
        </w:rPr>
      </w:pPr>
      <w:r>
        <w:rPr>
          <w:rFonts w:hint="eastAsia" w:ascii="宋体" w:hAnsi="宋体" w:cs="宋体"/>
          <w:bCs/>
          <w:color w:val="auto"/>
          <w:sz w:val="24"/>
          <w:szCs w:val="21"/>
        </w:rPr>
        <w:t xml:space="preserve">                                             承诺人名称（公章）：</w:t>
      </w:r>
    </w:p>
    <w:p w14:paraId="75C9AACD">
      <w:pPr>
        <w:spacing w:line="360" w:lineRule="auto"/>
        <w:ind w:firstLine="480" w:firstLineChars="200"/>
        <w:jc w:val="right"/>
        <w:rPr>
          <w:rFonts w:hint="eastAsia" w:ascii="宋体" w:hAnsi="宋体" w:cs="宋体"/>
          <w:bCs/>
          <w:color w:val="auto"/>
          <w:sz w:val="24"/>
          <w:szCs w:val="21"/>
        </w:rPr>
      </w:pPr>
    </w:p>
    <w:p w14:paraId="2DA202B1">
      <w:pPr>
        <w:spacing w:line="360" w:lineRule="auto"/>
        <w:ind w:firstLine="480" w:firstLineChars="200"/>
        <w:jc w:val="right"/>
        <w:rPr>
          <w:rFonts w:hint="eastAsia" w:ascii="宋体" w:hAnsi="宋体" w:cs="宋体"/>
          <w:bCs/>
          <w:color w:val="auto"/>
          <w:sz w:val="24"/>
          <w:szCs w:val="21"/>
        </w:rPr>
      </w:pPr>
    </w:p>
    <w:p w14:paraId="68A50349">
      <w:pPr>
        <w:spacing w:line="360" w:lineRule="auto"/>
        <w:ind w:firstLine="480" w:firstLineChars="200"/>
        <w:jc w:val="right"/>
        <w:rPr>
          <w:rFonts w:hint="eastAsia" w:ascii="宋体" w:hAnsi="宋体" w:cs="宋体"/>
          <w:bCs/>
          <w:color w:val="auto"/>
          <w:sz w:val="24"/>
          <w:szCs w:val="21"/>
        </w:rPr>
      </w:pPr>
      <w:r>
        <w:rPr>
          <w:rFonts w:hint="eastAsia" w:ascii="宋体" w:hAnsi="宋体" w:cs="宋体"/>
          <w:bCs/>
          <w:color w:val="auto"/>
          <w:sz w:val="24"/>
          <w:szCs w:val="21"/>
        </w:rPr>
        <w:t xml:space="preserve">    </w:t>
      </w:r>
    </w:p>
    <w:p w14:paraId="3EFE3575">
      <w:pPr>
        <w:spacing w:line="360" w:lineRule="auto"/>
        <w:ind w:firstLine="480" w:firstLineChars="200"/>
        <w:jc w:val="right"/>
        <w:rPr>
          <w:rFonts w:hint="eastAsia" w:ascii="宋体" w:hAnsi="宋体" w:cs="宋体"/>
          <w:bCs/>
          <w:color w:val="auto"/>
          <w:sz w:val="24"/>
          <w:szCs w:val="21"/>
        </w:rPr>
      </w:pPr>
      <w:r>
        <w:rPr>
          <w:rFonts w:hint="eastAsia" w:ascii="宋体" w:hAnsi="宋体" w:cs="宋体"/>
          <w:bCs/>
          <w:color w:val="auto"/>
          <w:sz w:val="24"/>
          <w:szCs w:val="21"/>
        </w:rPr>
        <w:t xml:space="preserve">                                 日期：</w:t>
      </w:r>
      <w:r>
        <w:rPr>
          <w:rFonts w:hint="eastAsia" w:ascii="宋体" w:hAnsi="宋体" w:cs="宋体"/>
          <w:bCs/>
          <w:color w:val="auto"/>
          <w:sz w:val="24"/>
          <w:szCs w:val="21"/>
          <w:u w:val="single"/>
        </w:rPr>
        <w:t>______</w:t>
      </w:r>
      <w:r>
        <w:rPr>
          <w:rFonts w:hint="eastAsia" w:ascii="宋体" w:hAnsi="宋体" w:cs="宋体"/>
          <w:bCs/>
          <w:color w:val="auto"/>
          <w:sz w:val="24"/>
          <w:szCs w:val="21"/>
        </w:rPr>
        <w:t>年</w:t>
      </w:r>
      <w:r>
        <w:rPr>
          <w:rFonts w:hint="eastAsia" w:ascii="宋体" w:hAnsi="宋体" w:cs="宋体"/>
          <w:bCs/>
          <w:color w:val="auto"/>
          <w:sz w:val="24"/>
          <w:szCs w:val="21"/>
          <w:u w:val="single"/>
        </w:rPr>
        <w:t xml:space="preserve">    </w:t>
      </w:r>
      <w:r>
        <w:rPr>
          <w:rFonts w:hint="eastAsia" w:ascii="宋体" w:hAnsi="宋体" w:cs="宋体"/>
          <w:bCs/>
          <w:color w:val="auto"/>
          <w:sz w:val="24"/>
          <w:szCs w:val="21"/>
        </w:rPr>
        <w:t>月</w:t>
      </w:r>
      <w:r>
        <w:rPr>
          <w:rFonts w:hint="eastAsia" w:ascii="宋体" w:hAnsi="宋体" w:cs="宋体"/>
          <w:bCs/>
          <w:color w:val="auto"/>
          <w:sz w:val="24"/>
          <w:szCs w:val="21"/>
          <w:u w:val="single"/>
        </w:rPr>
        <w:t xml:space="preserve">    </w:t>
      </w:r>
      <w:r>
        <w:rPr>
          <w:rFonts w:hint="eastAsia" w:ascii="宋体" w:hAnsi="宋体" w:cs="宋体"/>
          <w:bCs/>
          <w:color w:val="auto"/>
          <w:sz w:val="24"/>
          <w:szCs w:val="21"/>
        </w:rPr>
        <w:t>日</w:t>
      </w:r>
    </w:p>
    <w:p w14:paraId="022CBCF1">
      <w:pPr>
        <w:snapToGrid w:val="0"/>
        <w:spacing w:line="360" w:lineRule="auto"/>
        <w:ind w:firstLine="540" w:firstLineChars="192"/>
        <w:contextualSpacing/>
        <w:rPr>
          <w:rFonts w:hint="eastAsia" w:ascii="宋体" w:hAnsi="宋体" w:cs="宋体"/>
          <w:b/>
          <w:color w:val="auto"/>
          <w:kern w:val="0"/>
          <w:sz w:val="28"/>
          <w:szCs w:val="28"/>
        </w:rPr>
      </w:pPr>
    </w:p>
    <w:p w14:paraId="37F143C4">
      <w:pPr>
        <w:snapToGrid w:val="0"/>
        <w:spacing w:line="360" w:lineRule="auto"/>
        <w:ind w:firstLine="540" w:firstLineChars="192"/>
        <w:contextualSpacing/>
        <w:rPr>
          <w:rFonts w:hint="eastAsia" w:ascii="宋体" w:hAnsi="宋体" w:cs="宋体"/>
          <w:b/>
          <w:color w:val="auto"/>
          <w:kern w:val="0"/>
          <w:sz w:val="28"/>
          <w:szCs w:val="28"/>
        </w:rPr>
      </w:pPr>
    </w:p>
    <w:p w14:paraId="593E5A90">
      <w:pPr>
        <w:snapToGrid w:val="0"/>
        <w:spacing w:line="360" w:lineRule="auto"/>
        <w:contextualSpacing/>
        <w:rPr>
          <w:rFonts w:hint="eastAsia" w:ascii="宋体" w:hAnsi="宋体" w:cs="宋体"/>
          <w:color w:val="auto"/>
          <w:kern w:val="0"/>
          <w:sz w:val="32"/>
          <w:szCs w:val="32"/>
          <w:lang w:val="zh-CN"/>
        </w:rPr>
      </w:pPr>
      <w:r>
        <w:rPr>
          <w:rFonts w:hint="eastAsia" w:ascii="宋体" w:hAnsi="宋体" w:cs="宋体"/>
          <w:color w:val="auto"/>
          <w:kern w:val="0"/>
          <w:sz w:val="32"/>
          <w:szCs w:val="32"/>
          <w:lang w:val="zh-CN"/>
        </w:rPr>
        <w:br w:type="page"/>
      </w:r>
      <w:r>
        <w:rPr>
          <w:rFonts w:hint="eastAsia" w:ascii="宋体" w:hAnsi="宋体" w:cs="宋体"/>
          <w:color w:val="auto"/>
          <w:kern w:val="0"/>
          <w:sz w:val="32"/>
          <w:szCs w:val="32"/>
          <w:lang w:val="zh-CN"/>
        </w:rPr>
        <w:t>附件2</w:t>
      </w:r>
    </w:p>
    <w:p w14:paraId="6F273C4A">
      <w:pPr>
        <w:spacing w:line="360" w:lineRule="auto"/>
        <w:jc w:val="center"/>
        <w:rPr>
          <w:rFonts w:hint="eastAsia" w:ascii="宋体" w:hAnsi="宋体" w:cs="宋体"/>
          <w:b/>
          <w:bCs/>
          <w:color w:val="auto"/>
          <w:sz w:val="32"/>
          <w:szCs w:val="32"/>
        </w:rPr>
      </w:pPr>
    </w:p>
    <w:p w14:paraId="6566622A">
      <w:pPr>
        <w:spacing w:line="360" w:lineRule="auto"/>
        <w:jc w:val="center"/>
        <w:rPr>
          <w:rFonts w:hint="eastAsia" w:ascii="宋体" w:hAnsi="宋体" w:cs="宋体"/>
          <w:b/>
          <w:bCs/>
          <w:color w:val="auto"/>
          <w:sz w:val="32"/>
          <w:szCs w:val="32"/>
        </w:rPr>
      </w:pPr>
    </w:p>
    <w:p w14:paraId="0640ADC8">
      <w:pPr>
        <w:spacing w:line="360" w:lineRule="auto"/>
        <w:jc w:val="center"/>
        <w:rPr>
          <w:rFonts w:hint="eastAsia" w:ascii="宋体" w:hAnsi="宋体" w:cs="宋体"/>
          <w:b/>
          <w:bCs/>
          <w:color w:val="auto"/>
          <w:sz w:val="32"/>
          <w:szCs w:val="32"/>
        </w:rPr>
      </w:pPr>
    </w:p>
    <w:p w14:paraId="786F8AA3">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法定代表人身份证明</w:t>
      </w:r>
    </w:p>
    <w:p w14:paraId="7FE8C7AF">
      <w:pPr>
        <w:spacing w:line="360" w:lineRule="auto"/>
        <w:rPr>
          <w:rFonts w:hint="eastAsia" w:ascii="宋体" w:hAnsi="宋体" w:cs="宋体"/>
          <w:color w:val="auto"/>
          <w:sz w:val="24"/>
        </w:rPr>
      </w:pPr>
    </w:p>
    <w:p w14:paraId="5106B4EB">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先生/女士： 现任我单位</w:t>
      </w:r>
      <w:r>
        <w:rPr>
          <w:rFonts w:hint="eastAsia" w:ascii="宋体" w:hAnsi="宋体" w:cs="宋体"/>
          <w:color w:val="auto"/>
          <w:sz w:val="24"/>
          <w:u w:val="single"/>
        </w:rPr>
        <w:t xml:space="preserve">        </w:t>
      </w:r>
      <w:r>
        <w:rPr>
          <w:rFonts w:hint="eastAsia" w:ascii="宋体" w:hAnsi="宋体" w:cs="宋体"/>
          <w:color w:val="auto"/>
          <w:sz w:val="24"/>
        </w:rPr>
        <w:t>职务，为法定代表人，特此证明。</w:t>
      </w:r>
    </w:p>
    <w:p w14:paraId="6BECB54E">
      <w:pPr>
        <w:spacing w:line="360" w:lineRule="auto"/>
        <w:ind w:firstLine="480"/>
        <w:rPr>
          <w:rFonts w:hint="eastAsia" w:ascii="宋体" w:hAnsi="宋体" w:cs="宋体"/>
          <w:color w:val="auto"/>
          <w:sz w:val="24"/>
          <w:u w:val="single"/>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23C82FEF">
      <w:pPr>
        <w:spacing w:line="360" w:lineRule="auto"/>
        <w:ind w:firstLine="480"/>
        <w:rPr>
          <w:rFonts w:hint="eastAsia" w:ascii="宋体" w:hAnsi="宋体" w:cs="宋体"/>
          <w:color w:val="auto"/>
          <w:sz w:val="24"/>
        </w:rPr>
      </w:pPr>
    </w:p>
    <w:p w14:paraId="5DBD09AA">
      <w:pPr>
        <w:spacing w:line="360" w:lineRule="auto"/>
        <w:rPr>
          <w:rFonts w:hint="eastAsia" w:ascii="宋体" w:hAnsi="宋体" w:cs="宋体"/>
          <w:b/>
          <w:color w:val="auto"/>
          <w:sz w:val="24"/>
        </w:rPr>
      </w:pPr>
      <w:r>
        <w:rPr>
          <w:rFonts w:hint="eastAsia" w:ascii="宋体" w:hAnsi="宋体" w:cs="宋体"/>
          <w:b/>
          <w:color w:val="auto"/>
          <w:sz w:val="24"/>
        </w:rPr>
        <w:t>注：提供法定代表人的身份证复印件</w:t>
      </w:r>
    </w:p>
    <w:p w14:paraId="6DCDF039">
      <w:pPr>
        <w:spacing w:line="360" w:lineRule="auto"/>
        <w:ind w:firstLine="480" w:firstLineChars="200"/>
        <w:rPr>
          <w:rFonts w:hint="eastAsia" w:ascii="宋体" w:hAnsi="宋体" w:cs="宋体"/>
          <w:color w:val="auto"/>
          <w:sz w:val="24"/>
        </w:rPr>
      </w:pPr>
    </w:p>
    <w:p w14:paraId="017844DD">
      <w:pPr>
        <w:spacing w:line="360" w:lineRule="auto"/>
        <w:rPr>
          <w:rFonts w:hint="eastAsia" w:ascii="宋体" w:hAnsi="宋体" w:cs="宋体"/>
          <w:color w:val="auto"/>
        </w:rPr>
      </w:pPr>
    </w:p>
    <w:p w14:paraId="58A6A5EB">
      <w:pPr>
        <w:snapToGrid w:val="0"/>
        <w:spacing w:line="360" w:lineRule="auto"/>
        <w:ind w:firstLine="540" w:firstLineChars="192"/>
        <w:contextualSpacing/>
        <w:rPr>
          <w:rFonts w:hint="eastAsia" w:ascii="宋体" w:hAnsi="宋体" w:cs="宋体"/>
          <w:b/>
          <w:color w:val="auto"/>
          <w:kern w:val="0"/>
          <w:sz w:val="28"/>
          <w:szCs w:val="28"/>
        </w:rPr>
      </w:pPr>
    </w:p>
    <w:p w14:paraId="7D3903DF">
      <w:pPr>
        <w:snapToGrid w:val="0"/>
        <w:spacing w:line="360" w:lineRule="auto"/>
        <w:ind w:firstLine="540" w:firstLineChars="192"/>
        <w:contextualSpacing/>
        <w:rPr>
          <w:rFonts w:hint="eastAsia" w:ascii="宋体" w:hAnsi="宋体" w:cs="宋体"/>
          <w:b/>
          <w:color w:val="auto"/>
          <w:kern w:val="0"/>
          <w:sz w:val="28"/>
          <w:szCs w:val="28"/>
          <w:lang w:val="zh-CN"/>
        </w:rPr>
      </w:pPr>
    </w:p>
    <w:p w14:paraId="543778DF">
      <w:pPr>
        <w:snapToGrid w:val="0"/>
        <w:spacing w:line="360" w:lineRule="auto"/>
        <w:ind w:firstLine="540" w:firstLineChars="192"/>
        <w:contextualSpacing/>
        <w:rPr>
          <w:rFonts w:hint="eastAsia" w:ascii="宋体" w:hAnsi="宋体" w:cs="宋体"/>
          <w:b/>
          <w:color w:val="auto"/>
          <w:kern w:val="0"/>
          <w:sz w:val="28"/>
          <w:szCs w:val="28"/>
          <w:lang w:val="zh-CN"/>
        </w:rPr>
      </w:pPr>
    </w:p>
    <w:p w14:paraId="5D5D72A6">
      <w:pPr>
        <w:snapToGrid w:val="0"/>
        <w:spacing w:line="360" w:lineRule="auto"/>
        <w:ind w:firstLine="540" w:firstLineChars="192"/>
        <w:contextualSpacing/>
        <w:rPr>
          <w:rFonts w:hint="eastAsia" w:ascii="宋体" w:hAnsi="宋体" w:cs="宋体"/>
          <w:b/>
          <w:color w:val="auto"/>
          <w:kern w:val="0"/>
          <w:sz w:val="28"/>
          <w:szCs w:val="28"/>
          <w:lang w:val="zh-CN"/>
        </w:rPr>
      </w:pPr>
    </w:p>
    <w:p w14:paraId="31CA3DD5">
      <w:pPr>
        <w:snapToGrid w:val="0"/>
        <w:spacing w:line="360" w:lineRule="auto"/>
        <w:ind w:firstLine="540" w:firstLineChars="192"/>
        <w:contextualSpacing/>
        <w:rPr>
          <w:rFonts w:hint="eastAsia" w:ascii="宋体" w:hAnsi="宋体" w:cs="宋体"/>
          <w:b/>
          <w:color w:val="auto"/>
          <w:kern w:val="0"/>
          <w:sz w:val="28"/>
          <w:szCs w:val="28"/>
          <w:lang w:val="zh-CN"/>
        </w:rPr>
      </w:pPr>
    </w:p>
    <w:p w14:paraId="635599AC">
      <w:pPr>
        <w:snapToGrid w:val="0"/>
        <w:spacing w:line="360" w:lineRule="auto"/>
        <w:ind w:firstLine="540" w:firstLineChars="192"/>
        <w:contextualSpacing/>
        <w:rPr>
          <w:rFonts w:hint="eastAsia" w:ascii="宋体" w:hAnsi="宋体" w:cs="宋体"/>
          <w:b/>
          <w:color w:val="auto"/>
          <w:kern w:val="0"/>
          <w:sz w:val="28"/>
          <w:szCs w:val="28"/>
          <w:lang w:val="zh-CN"/>
        </w:rPr>
      </w:pPr>
    </w:p>
    <w:p w14:paraId="22F68A20">
      <w:pPr>
        <w:snapToGrid w:val="0"/>
        <w:spacing w:line="360" w:lineRule="auto"/>
        <w:ind w:firstLine="540" w:firstLineChars="192"/>
        <w:contextualSpacing/>
        <w:rPr>
          <w:rFonts w:hint="eastAsia" w:ascii="宋体" w:hAnsi="宋体" w:cs="宋体"/>
          <w:b/>
          <w:color w:val="auto"/>
          <w:kern w:val="0"/>
          <w:sz w:val="28"/>
          <w:szCs w:val="28"/>
          <w:lang w:val="zh-CN"/>
        </w:rPr>
      </w:pPr>
    </w:p>
    <w:p w14:paraId="1F3E68EB">
      <w:pPr>
        <w:snapToGrid w:val="0"/>
        <w:spacing w:line="360" w:lineRule="auto"/>
        <w:ind w:firstLine="540" w:firstLineChars="192"/>
        <w:contextualSpacing/>
        <w:rPr>
          <w:rFonts w:hint="eastAsia" w:ascii="宋体" w:hAnsi="宋体" w:cs="宋体"/>
          <w:b/>
          <w:color w:val="auto"/>
          <w:kern w:val="0"/>
          <w:sz w:val="28"/>
          <w:szCs w:val="28"/>
          <w:lang w:val="zh-CN"/>
        </w:rPr>
      </w:pPr>
    </w:p>
    <w:p w14:paraId="43354482">
      <w:pPr>
        <w:snapToGrid w:val="0"/>
        <w:spacing w:line="360" w:lineRule="auto"/>
        <w:ind w:firstLine="540" w:firstLineChars="192"/>
        <w:contextualSpacing/>
        <w:rPr>
          <w:rFonts w:hint="eastAsia" w:ascii="宋体" w:hAnsi="宋体" w:cs="宋体"/>
          <w:b/>
          <w:color w:val="auto"/>
          <w:kern w:val="0"/>
          <w:sz w:val="28"/>
          <w:szCs w:val="28"/>
          <w:lang w:val="zh-CN"/>
        </w:rPr>
      </w:pPr>
    </w:p>
    <w:p w14:paraId="6592BC0B">
      <w:pPr>
        <w:snapToGrid w:val="0"/>
        <w:spacing w:line="360" w:lineRule="auto"/>
        <w:ind w:firstLine="540" w:firstLineChars="192"/>
        <w:contextualSpacing/>
        <w:rPr>
          <w:rFonts w:hint="eastAsia" w:ascii="宋体" w:hAnsi="宋体" w:cs="宋体"/>
          <w:b/>
          <w:color w:val="auto"/>
          <w:kern w:val="0"/>
          <w:sz w:val="28"/>
          <w:szCs w:val="28"/>
          <w:lang w:val="zh-CN"/>
        </w:rPr>
      </w:pPr>
    </w:p>
    <w:p w14:paraId="13892FB7">
      <w:pPr>
        <w:snapToGrid w:val="0"/>
        <w:spacing w:line="360" w:lineRule="auto"/>
        <w:contextualSpacing/>
        <w:rPr>
          <w:rFonts w:hint="eastAsia" w:ascii="宋体" w:hAnsi="宋体" w:cs="宋体"/>
          <w:color w:val="auto"/>
          <w:kern w:val="0"/>
          <w:sz w:val="32"/>
          <w:szCs w:val="32"/>
          <w:lang w:val="zh-CN"/>
        </w:rPr>
      </w:pPr>
      <w:r>
        <w:rPr>
          <w:rFonts w:hint="eastAsia" w:ascii="宋体" w:hAnsi="宋体" w:cs="宋体"/>
          <w:color w:val="auto"/>
          <w:kern w:val="0"/>
          <w:sz w:val="32"/>
          <w:szCs w:val="32"/>
          <w:lang w:val="zh-CN"/>
        </w:rPr>
        <w:br w:type="page"/>
      </w:r>
      <w:r>
        <w:rPr>
          <w:rFonts w:hint="eastAsia" w:ascii="宋体" w:hAnsi="宋体" w:cs="宋体"/>
          <w:color w:val="auto"/>
          <w:kern w:val="0"/>
          <w:sz w:val="32"/>
          <w:szCs w:val="32"/>
          <w:lang w:val="zh-CN"/>
        </w:rPr>
        <w:t>附件3</w:t>
      </w:r>
    </w:p>
    <w:p w14:paraId="777DD20C">
      <w:pPr>
        <w:spacing w:line="360" w:lineRule="auto"/>
        <w:jc w:val="center"/>
        <w:rPr>
          <w:rFonts w:hint="eastAsia" w:ascii="宋体" w:hAnsi="宋体" w:cs="宋体"/>
          <w:color w:val="auto"/>
          <w:sz w:val="32"/>
          <w:szCs w:val="32"/>
        </w:rPr>
      </w:pPr>
    </w:p>
    <w:p w14:paraId="78195EF8">
      <w:pPr>
        <w:spacing w:line="360" w:lineRule="auto"/>
        <w:ind w:firstLine="560" w:firstLineChars="200"/>
        <w:jc w:val="center"/>
        <w:rPr>
          <w:rFonts w:hint="eastAsia" w:ascii="宋体" w:hAnsi="宋体" w:cs="宋体"/>
          <w:color w:val="auto"/>
          <w:sz w:val="28"/>
          <w:szCs w:val="28"/>
        </w:rPr>
      </w:pPr>
      <w:r>
        <w:rPr>
          <w:rFonts w:hint="eastAsia" w:ascii="宋体" w:hAnsi="宋体" w:cs="宋体"/>
          <w:color w:val="auto"/>
          <w:sz w:val="28"/>
          <w:szCs w:val="28"/>
        </w:rPr>
        <w:t>法定代表人授权委托书</w:t>
      </w:r>
    </w:p>
    <w:p w14:paraId="04B48614">
      <w:pPr>
        <w:spacing w:line="360" w:lineRule="auto"/>
        <w:ind w:firstLine="560" w:firstLineChars="200"/>
        <w:rPr>
          <w:rFonts w:hint="eastAsia" w:ascii="宋体" w:hAnsi="宋体" w:cs="宋体"/>
          <w:color w:val="auto"/>
          <w:sz w:val="28"/>
          <w:szCs w:val="28"/>
        </w:rPr>
      </w:pPr>
    </w:p>
    <w:p w14:paraId="672371D1">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本人------（姓名）系————（授权单位名称）的法定代表人，现委托-------（姓名）（身份证号——————）为我方代理人，以我方名义全权处理与本次采购项目（编号：----------）有关的一切事务，其法律后果由我方承担。</w:t>
      </w:r>
    </w:p>
    <w:p w14:paraId="6AC2F57E">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本授权书于---年---月---日起生效。代理人无转委托权。</w:t>
      </w:r>
    </w:p>
    <w:p w14:paraId="02BF2B22">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代理人(被授权人):------</w:t>
      </w:r>
    </w:p>
    <w:p w14:paraId="5266BCD3">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授权单位名称（盖章）：-----</w:t>
      </w:r>
    </w:p>
    <w:p w14:paraId="2C90CA1C">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授权单位法定代表人（签字或盖章）：-----</w:t>
      </w:r>
    </w:p>
    <w:p w14:paraId="26629F57">
      <w:pPr>
        <w:spacing w:line="360" w:lineRule="auto"/>
        <w:ind w:firstLine="560" w:firstLineChars="200"/>
        <w:jc w:val="right"/>
        <w:rPr>
          <w:rFonts w:hint="eastAsia" w:ascii="宋体" w:hAnsi="宋体" w:cs="宋体"/>
          <w:color w:val="auto"/>
          <w:sz w:val="28"/>
          <w:szCs w:val="28"/>
        </w:rPr>
      </w:pPr>
    </w:p>
    <w:p w14:paraId="7107B20E">
      <w:pPr>
        <w:spacing w:line="360" w:lineRule="auto"/>
        <w:ind w:firstLine="560" w:firstLineChars="200"/>
        <w:jc w:val="right"/>
        <w:rPr>
          <w:rFonts w:hint="eastAsia" w:ascii="宋体" w:hAnsi="宋体" w:cs="宋体"/>
          <w:color w:val="auto"/>
          <w:sz w:val="28"/>
          <w:szCs w:val="28"/>
        </w:rPr>
      </w:pPr>
      <w:r>
        <w:rPr>
          <w:rFonts w:hint="eastAsia" w:ascii="宋体" w:hAnsi="宋体" w:cs="宋体"/>
          <w:color w:val="auto"/>
          <w:sz w:val="28"/>
          <w:szCs w:val="28"/>
        </w:rPr>
        <w:t>XXXX年XX月XX日</w:t>
      </w:r>
    </w:p>
    <w:p w14:paraId="6431126A">
      <w:pPr>
        <w:snapToGrid w:val="0"/>
        <w:spacing w:line="360" w:lineRule="auto"/>
        <w:ind w:firstLine="562" w:firstLineChars="200"/>
        <w:contextualSpacing/>
        <w:rPr>
          <w:rFonts w:hint="eastAsia" w:ascii="宋体" w:hAnsi="宋体" w:cs="宋体"/>
          <w:b/>
          <w:color w:val="auto"/>
          <w:kern w:val="0"/>
          <w:sz w:val="28"/>
          <w:szCs w:val="28"/>
        </w:rPr>
      </w:pPr>
    </w:p>
    <w:p w14:paraId="4CAA062E">
      <w:pPr>
        <w:snapToGrid w:val="0"/>
        <w:spacing w:line="360" w:lineRule="auto"/>
        <w:ind w:firstLine="562" w:firstLineChars="200"/>
        <w:contextualSpacing/>
        <w:rPr>
          <w:rFonts w:hint="eastAsia" w:ascii="宋体" w:hAnsi="宋体" w:cs="宋体"/>
          <w:b/>
          <w:color w:val="auto"/>
          <w:kern w:val="0"/>
          <w:sz w:val="28"/>
          <w:szCs w:val="28"/>
        </w:rPr>
      </w:pPr>
      <w:r>
        <w:rPr>
          <w:rFonts w:hint="eastAsia" w:ascii="宋体" w:hAnsi="宋体" w:cs="宋体"/>
          <w:b/>
          <w:color w:val="auto"/>
          <w:kern w:val="0"/>
          <w:sz w:val="28"/>
          <w:szCs w:val="28"/>
        </w:rPr>
        <w:t>注：提供投标代表本人身份证复印件</w:t>
      </w:r>
    </w:p>
    <w:p w14:paraId="2E44BE2A">
      <w:pPr>
        <w:snapToGrid w:val="0"/>
        <w:spacing w:line="360" w:lineRule="auto"/>
        <w:ind w:firstLine="562" w:firstLineChars="200"/>
        <w:contextualSpacing/>
        <w:rPr>
          <w:rFonts w:hint="eastAsia" w:ascii="宋体" w:hAnsi="宋体" w:cs="宋体"/>
          <w:b/>
          <w:color w:val="auto"/>
          <w:kern w:val="0"/>
          <w:sz w:val="28"/>
          <w:szCs w:val="28"/>
        </w:rPr>
      </w:pPr>
    </w:p>
    <w:p w14:paraId="6164EC4D">
      <w:pPr>
        <w:snapToGrid w:val="0"/>
        <w:spacing w:line="360" w:lineRule="auto"/>
        <w:ind w:firstLine="540" w:firstLineChars="192"/>
        <w:contextualSpacing/>
        <w:rPr>
          <w:rFonts w:hint="eastAsia" w:ascii="宋体" w:hAnsi="宋体" w:cs="宋体"/>
          <w:b/>
          <w:color w:val="auto"/>
          <w:kern w:val="0"/>
          <w:sz w:val="28"/>
          <w:szCs w:val="28"/>
        </w:rPr>
      </w:pPr>
    </w:p>
    <w:p w14:paraId="41333379">
      <w:pPr>
        <w:snapToGrid w:val="0"/>
        <w:spacing w:line="360" w:lineRule="auto"/>
        <w:ind w:firstLine="540" w:firstLineChars="192"/>
        <w:contextualSpacing/>
        <w:rPr>
          <w:rFonts w:hint="eastAsia" w:ascii="宋体" w:hAnsi="宋体" w:cs="宋体"/>
          <w:b/>
          <w:color w:val="auto"/>
          <w:kern w:val="0"/>
          <w:sz w:val="28"/>
          <w:szCs w:val="28"/>
        </w:rPr>
      </w:pPr>
    </w:p>
    <w:p w14:paraId="18E6AC75">
      <w:pPr>
        <w:snapToGrid w:val="0"/>
        <w:spacing w:line="360" w:lineRule="auto"/>
        <w:ind w:firstLine="540" w:firstLineChars="192"/>
        <w:contextualSpacing/>
        <w:rPr>
          <w:rFonts w:hint="eastAsia" w:ascii="宋体" w:hAnsi="宋体" w:cs="宋体"/>
          <w:b/>
          <w:color w:val="auto"/>
          <w:kern w:val="0"/>
          <w:sz w:val="28"/>
          <w:szCs w:val="28"/>
        </w:rPr>
      </w:pPr>
    </w:p>
    <w:p w14:paraId="5D23A63A">
      <w:pPr>
        <w:pStyle w:val="26"/>
        <w:ind w:firstLine="562"/>
        <w:rPr>
          <w:rFonts w:hint="eastAsia" w:ascii="宋体" w:hAnsi="宋体" w:cs="宋体"/>
          <w:b/>
          <w:color w:val="auto"/>
          <w:kern w:val="0"/>
          <w:sz w:val="28"/>
          <w:szCs w:val="28"/>
        </w:rPr>
      </w:pPr>
    </w:p>
    <w:p w14:paraId="2A6A757E">
      <w:pPr>
        <w:pStyle w:val="26"/>
        <w:ind w:firstLine="562"/>
        <w:rPr>
          <w:rFonts w:hint="eastAsia" w:ascii="宋体" w:hAnsi="宋体" w:cs="宋体"/>
          <w:b/>
          <w:color w:val="auto"/>
          <w:kern w:val="0"/>
          <w:sz w:val="28"/>
          <w:szCs w:val="28"/>
        </w:rPr>
      </w:pPr>
    </w:p>
    <w:p w14:paraId="20E1BA58">
      <w:pPr>
        <w:snapToGrid w:val="0"/>
        <w:spacing w:line="360" w:lineRule="auto"/>
        <w:ind w:firstLine="540" w:firstLineChars="192"/>
        <w:contextualSpacing/>
        <w:rPr>
          <w:rFonts w:hint="eastAsia" w:ascii="宋体" w:hAnsi="宋体" w:cs="宋体"/>
          <w:b/>
          <w:color w:val="auto"/>
          <w:kern w:val="0"/>
          <w:sz w:val="28"/>
          <w:szCs w:val="28"/>
        </w:rPr>
      </w:pPr>
    </w:p>
    <w:p w14:paraId="7991A9B4">
      <w:pPr>
        <w:snapToGrid w:val="0"/>
        <w:spacing w:line="360" w:lineRule="auto"/>
        <w:ind w:firstLine="540" w:firstLineChars="192"/>
        <w:contextualSpacing/>
        <w:rPr>
          <w:rFonts w:hint="eastAsia" w:ascii="宋体" w:hAnsi="宋体" w:cs="宋体"/>
          <w:b/>
          <w:color w:val="auto"/>
          <w:kern w:val="0"/>
          <w:sz w:val="28"/>
          <w:szCs w:val="28"/>
        </w:rPr>
      </w:pPr>
    </w:p>
    <w:p w14:paraId="136ABBF4">
      <w:pPr>
        <w:snapToGrid w:val="0"/>
        <w:spacing w:line="360" w:lineRule="auto"/>
        <w:ind w:firstLine="540" w:firstLineChars="192"/>
        <w:contextualSpacing/>
        <w:rPr>
          <w:rFonts w:hint="eastAsia" w:ascii="宋体" w:hAnsi="宋体" w:cs="宋体"/>
          <w:b/>
          <w:color w:val="auto"/>
          <w:kern w:val="0"/>
          <w:sz w:val="28"/>
          <w:szCs w:val="28"/>
        </w:rPr>
      </w:pPr>
    </w:p>
    <w:p w14:paraId="63A58C1B">
      <w:pPr>
        <w:snapToGrid w:val="0"/>
        <w:spacing w:line="300" w:lineRule="auto"/>
        <w:jc w:val="left"/>
        <w:outlineLvl w:val="0"/>
        <w:rPr>
          <w:rFonts w:hint="eastAsia" w:ascii="宋体" w:hAnsi="宋体" w:eastAsia="宋体" w:cs="宋体"/>
          <w:color w:val="auto"/>
          <w:sz w:val="32"/>
          <w:szCs w:val="32"/>
          <w:lang w:val="en-US" w:eastAsia="zh-CN"/>
        </w:rPr>
      </w:pPr>
      <w:r>
        <w:rPr>
          <w:rFonts w:hint="eastAsia" w:ascii="宋体" w:hAnsi="宋体" w:cs="宋体"/>
          <w:color w:val="auto"/>
          <w:kern w:val="0"/>
          <w:sz w:val="32"/>
          <w:szCs w:val="32"/>
        </w:rPr>
        <w:br w:type="page"/>
      </w:r>
      <w:r>
        <w:rPr>
          <w:rFonts w:hint="eastAsia" w:ascii="宋体" w:hAnsi="宋体" w:eastAsia="宋体" w:cs="宋体"/>
          <w:color w:val="auto"/>
          <w:sz w:val="32"/>
          <w:szCs w:val="32"/>
        </w:rPr>
        <w:t>附件</w:t>
      </w:r>
      <w:r>
        <w:rPr>
          <w:rFonts w:hint="eastAsia" w:ascii="宋体" w:hAnsi="宋体" w:eastAsia="宋体" w:cs="宋体"/>
          <w:color w:val="auto"/>
          <w:sz w:val="32"/>
          <w:szCs w:val="32"/>
          <w:lang w:val="en-US" w:eastAsia="zh-CN"/>
        </w:rPr>
        <w:t>4</w:t>
      </w:r>
    </w:p>
    <w:p w14:paraId="0E066F83">
      <w:pPr>
        <w:widowControl/>
        <w:spacing w:before="100" w:beforeAutospacing="1" w:after="100" w:afterAutospacing="1" w:line="360" w:lineRule="auto"/>
        <w:jc w:val="center"/>
        <w:rPr>
          <w:rFonts w:hint="eastAsia" w:ascii="宋体" w:hAnsi="宋体" w:cs="宋体"/>
          <w:color w:val="auto"/>
          <w:kern w:val="0"/>
          <w:sz w:val="32"/>
          <w:szCs w:val="32"/>
        </w:rPr>
      </w:pPr>
      <w:r>
        <w:rPr>
          <w:rFonts w:hint="eastAsia" w:ascii="宋体" w:hAnsi="宋体" w:cs="宋体"/>
          <w:b/>
          <w:bCs/>
          <w:color w:val="auto"/>
          <w:kern w:val="0"/>
          <w:sz w:val="32"/>
          <w:szCs w:val="32"/>
        </w:rPr>
        <w:t>报价总表</w:t>
      </w:r>
    </w:p>
    <w:p w14:paraId="754E2BD1">
      <w:pPr>
        <w:spacing w:line="360" w:lineRule="auto"/>
        <w:rPr>
          <w:rFonts w:hint="eastAsia" w:ascii="宋体" w:hAnsi="宋体" w:cs="宋体"/>
          <w:color w:val="auto"/>
          <w:kern w:val="0"/>
          <w:sz w:val="28"/>
          <w:szCs w:val="28"/>
          <w:u w:val="single"/>
        </w:rPr>
      </w:pPr>
      <w:r>
        <w:rPr>
          <w:rFonts w:hint="eastAsia" w:ascii="宋体" w:hAnsi="宋体" w:cs="宋体"/>
          <w:color w:val="auto"/>
          <w:kern w:val="0"/>
          <w:sz w:val="28"/>
          <w:szCs w:val="28"/>
        </w:rPr>
        <w:t>供应商全称（加盖公章）：</w:t>
      </w:r>
    </w:p>
    <w:p w14:paraId="298EF95B">
      <w:pPr>
        <w:spacing w:line="360" w:lineRule="auto"/>
        <w:rPr>
          <w:rFonts w:hint="eastAsia" w:ascii="宋体" w:hAnsi="宋体" w:cs="宋体"/>
          <w:color w:val="auto"/>
          <w:kern w:val="0"/>
          <w:sz w:val="28"/>
          <w:szCs w:val="28"/>
          <w:u w:val="single"/>
        </w:rPr>
      </w:pPr>
      <w:r>
        <w:rPr>
          <w:rFonts w:hint="eastAsia" w:ascii="宋体" w:hAnsi="宋体" w:cs="宋体"/>
          <w:color w:val="auto"/>
          <w:kern w:val="0"/>
          <w:sz w:val="28"/>
          <w:szCs w:val="28"/>
        </w:rPr>
        <w:t>项目名称：</w:t>
      </w:r>
    </w:p>
    <w:p w14:paraId="24FDD449">
      <w:pPr>
        <w:spacing w:line="360" w:lineRule="auto"/>
        <w:rPr>
          <w:rFonts w:hint="eastAsia" w:ascii="宋体" w:hAnsi="宋体" w:cs="宋体"/>
          <w:color w:val="auto"/>
          <w:kern w:val="0"/>
          <w:sz w:val="28"/>
          <w:szCs w:val="28"/>
        </w:rPr>
      </w:pPr>
      <w:r>
        <w:rPr>
          <w:rFonts w:hint="eastAsia" w:ascii="宋体" w:hAnsi="宋体" w:cs="宋体"/>
          <w:color w:val="auto"/>
          <w:kern w:val="0"/>
          <w:sz w:val="28"/>
          <w:szCs w:val="28"/>
        </w:rPr>
        <w:t>项目编号：</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8"/>
        <w:gridCol w:w="4483"/>
      </w:tblGrid>
      <w:tr w14:paraId="6996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pct"/>
            <w:noWrap w:val="0"/>
            <w:vAlign w:val="top"/>
          </w:tcPr>
          <w:p w14:paraId="4C3728B8">
            <w:pPr>
              <w:spacing w:line="360" w:lineRule="auto"/>
              <w:jc w:val="center"/>
              <w:rPr>
                <w:rFonts w:hint="eastAsia" w:ascii="宋体" w:hAnsi="宋体" w:cs="宋体"/>
                <w:color w:val="auto"/>
                <w:szCs w:val="22"/>
              </w:rPr>
            </w:pPr>
            <w:r>
              <w:rPr>
                <w:rFonts w:hint="eastAsia" w:ascii="宋体" w:hAnsi="宋体" w:cs="宋体"/>
                <w:color w:val="auto"/>
                <w:kern w:val="0"/>
                <w:sz w:val="28"/>
                <w:szCs w:val="28"/>
              </w:rPr>
              <w:t>磋商货物、服务名称</w:t>
            </w:r>
          </w:p>
        </w:tc>
        <w:tc>
          <w:tcPr>
            <w:tcW w:w="2630" w:type="pct"/>
            <w:noWrap w:val="0"/>
            <w:vAlign w:val="top"/>
          </w:tcPr>
          <w:p w14:paraId="60487D76">
            <w:pPr>
              <w:spacing w:line="360" w:lineRule="auto"/>
              <w:jc w:val="center"/>
              <w:rPr>
                <w:rFonts w:hint="eastAsia" w:ascii="宋体" w:hAnsi="宋体" w:cs="宋体"/>
                <w:color w:val="auto"/>
                <w:szCs w:val="22"/>
              </w:rPr>
            </w:pPr>
            <w:r>
              <w:rPr>
                <w:rFonts w:hint="eastAsia" w:ascii="宋体" w:hAnsi="宋体" w:cs="宋体"/>
                <w:color w:val="auto"/>
                <w:kern w:val="0"/>
                <w:sz w:val="28"/>
                <w:szCs w:val="28"/>
              </w:rPr>
              <w:t>磋商总报价</w:t>
            </w:r>
          </w:p>
        </w:tc>
      </w:tr>
      <w:tr w14:paraId="5C4F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369" w:type="pct"/>
            <w:noWrap w:val="0"/>
            <w:vAlign w:val="top"/>
          </w:tcPr>
          <w:p w14:paraId="23A04FF3">
            <w:pPr>
              <w:spacing w:line="360" w:lineRule="auto"/>
              <w:jc w:val="left"/>
              <w:rPr>
                <w:rFonts w:hint="eastAsia" w:ascii="宋体" w:hAnsi="宋体" w:cs="宋体"/>
                <w:color w:val="auto"/>
                <w:szCs w:val="22"/>
              </w:rPr>
            </w:pPr>
          </w:p>
        </w:tc>
        <w:tc>
          <w:tcPr>
            <w:tcW w:w="2630" w:type="pct"/>
            <w:noWrap w:val="0"/>
            <w:vAlign w:val="center"/>
          </w:tcPr>
          <w:p w14:paraId="7F39BAAF">
            <w:pPr>
              <w:spacing w:line="360" w:lineRule="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rPr>
              <w:t>大写：</w:t>
            </w:r>
            <w:r>
              <w:rPr>
                <w:rFonts w:hint="eastAsia" w:ascii="宋体" w:hAnsi="宋体" w:cs="宋体"/>
                <w:color w:val="auto"/>
                <w:kern w:val="0"/>
                <w:sz w:val="28"/>
                <w:szCs w:val="28"/>
                <w:lang w:eastAsia="zh-CN"/>
              </w:rPr>
              <w:t>每年</w:t>
            </w:r>
            <w:r>
              <w:rPr>
                <w:rFonts w:hint="eastAsia" w:ascii="宋体" w:hAnsi="宋体" w:cs="宋体"/>
                <w:color w:val="auto"/>
                <w:kern w:val="0"/>
                <w:sz w:val="28"/>
                <w:szCs w:val="28"/>
                <w:lang w:val="en-US" w:eastAsia="zh-CN"/>
              </w:rPr>
              <w:t xml:space="preserve">             </w:t>
            </w:r>
          </w:p>
          <w:p w14:paraId="666C79BD">
            <w:pPr>
              <w:spacing w:line="360" w:lineRule="auto"/>
              <w:rPr>
                <w:rFonts w:hint="eastAsia" w:ascii="宋体" w:hAnsi="宋体" w:cs="宋体"/>
                <w:color w:val="auto"/>
                <w:szCs w:val="22"/>
                <w:u w:val="single"/>
              </w:rPr>
            </w:pPr>
            <w:r>
              <w:rPr>
                <w:rFonts w:hint="eastAsia" w:ascii="宋体" w:hAnsi="宋体" w:cs="宋体"/>
                <w:color w:val="auto"/>
                <w:kern w:val="0"/>
                <w:sz w:val="28"/>
                <w:szCs w:val="28"/>
              </w:rPr>
              <w:t>小写：        元</w:t>
            </w:r>
            <w:r>
              <w:rPr>
                <w:rFonts w:hint="eastAsia" w:ascii="宋体" w:hAnsi="宋体" w:cs="宋体"/>
                <w:color w:val="auto"/>
                <w:kern w:val="0"/>
                <w:sz w:val="28"/>
                <w:szCs w:val="28"/>
                <w:lang w:val="en-US" w:eastAsia="zh-CN"/>
              </w:rPr>
              <w:t>/年</w:t>
            </w:r>
            <w:r>
              <w:rPr>
                <w:rFonts w:hint="eastAsia" w:ascii="宋体" w:hAnsi="宋体" w:cs="宋体"/>
                <w:color w:val="auto"/>
                <w:kern w:val="0"/>
                <w:sz w:val="28"/>
                <w:szCs w:val="28"/>
              </w:rPr>
              <w:t>（人民币）</w:t>
            </w:r>
          </w:p>
        </w:tc>
      </w:tr>
    </w:tbl>
    <w:p w14:paraId="61015375">
      <w:pPr>
        <w:spacing w:line="360" w:lineRule="auto"/>
        <w:rPr>
          <w:rFonts w:hint="eastAsia" w:ascii="宋体" w:hAnsi="宋体" w:cs="宋体"/>
          <w:color w:val="auto"/>
          <w:kern w:val="0"/>
          <w:sz w:val="28"/>
          <w:szCs w:val="28"/>
        </w:rPr>
      </w:pPr>
      <w:r>
        <w:rPr>
          <w:rFonts w:hint="eastAsia" w:ascii="宋体" w:hAnsi="宋体" w:cs="宋体"/>
          <w:color w:val="auto"/>
          <w:kern w:val="0"/>
          <w:sz w:val="28"/>
          <w:szCs w:val="28"/>
        </w:rPr>
        <w:t>日期：</w:t>
      </w:r>
    </w:p>
    <w:p w14:paraId="6FFB9ABF">
      <w:pPr>
        <w:spacing w:line="360" w:lineRule="auto"/>
        <w:rPr>
          <w:rFonts w:hint="eastAsia" w:ascii="宋体" w:hAnsi="宋体" w:cs="宋体"/>
          <w:color w:val="auto"/>
          <w:kern w:val="0"/>
          <w:sz w:val="28"/>
          <w:szCs w:val="28"/>
        </w:rPr>
      </w:pPr>
      <w:r>
        <w:rPr>
          <w:rFonts w:hint="eastAsia" w:ascii="宋体" w:hAnsi="宋体" w:cs="宋体"/>
          <w:color w:val="auto"/>
          <w:kern w:val="0"/>
          <w:sz w:val="28"/>
          <w:szCs w:val="28"/>
        </w:rPr>
        <w:t>填写说明：</w:t>
      </w:r>
    </w:p>
    <w:p w14:paraId="07567ED4">
      <w:pPr>
        <w:spacing w:line="360" w:lineRule="auto"/>
        <w:rPr>
          <w:rFonts w:hint="eastAsia" w:ascii="宋体" w:hAnsi="宋体" w:cs="宋体"/>
          <w:color w:val="auto"/>
          <w:kern w:val="0"/>
          <w:sz w:val="28"/>
          <w:szCs w:val="28"/>
        </w:rPr>
      </w:pPr>
      <w:r>
        <w:rPr>
          <w:rFonts w:hint="eastAsia" w:ascii="宋体" w:hAnsi="宋体" w:cs="宋体"/>
          <w:color w:val="auto"/>
          <w:kern w:val="0"/>
          <w:sz w:val="28"/>
          <w:szCs w:val="28"/>
        </w:rPr>
        <w:t>1、报价总表必须加盖供应商公章（复印件无效）。</w:t>
      </w:r>
    </w:p>
    <w:p w14:paraId="6C59BEAD">
      <w:pPr>
        <w:snapToGrid w:val="0"/>
        <w:spacing w:line="360" w:lineRule="auto"/>
        <w:ind w:firstLine="540" w:firstLineChars="192"/>
        <w:contextualSpacing/>
        <w:rPr>
          <w:rFonts w:hint="eastAsia" w:ascii="宋体" w:hAnsi="宋体" w:cs="宋体"/>
          <w:b/>
          <w:color w:val="auto"/>
          <w:kern w:val="0"/>
          <w:sz w:val="28"/>
          <w:szCs w:val="28"/>
        </w:rPr>
      </w:pPr>
    </w:p>
    <w:p w14:paraId="4AE7EE31">
      <w:pPr>
        <w:snapToGrid w:val="0"/>
        <w:spacing w:line="360" w:lineRule="auto"/>
        <w:ind w:firstLine="540" w:firstLineChars="192"/>
        <w:contextualSpacing/>
        <w:rPr>
          <w:rFonts w:hint="eastAsia" w:ascii="宋体" w:hAnsi="宋体" w:cs="宋体"/>
          <w:b/>
          <w:color w:val="auto"/>
          <w:kern w:val="0"/>
          <w:sz w:val="28"/>
          <w:szCs w:val="28"/>
        </w:rPr>
      </w:pPr>
    </w:p>
    <w:p w14:paraId="6483F297">
      <w:pPr>
        <w:snapToGrid w:val="0"/>
        <w:spacing w:line="360" w:lineRule="auto"/>
        <w:ind w:firstLine="540" w:firstLineChars="192"/>
        <w:contextualSpacing/>
        <w:rPr>
          <w:rFonts w:hint="eastAsia" w:ascii="宋体" w:hAnsi="宋体" w:cs="宋体"/>
          <w:b/>
          <w:color w:val="auto"/>
          <w:kern w:val="0"/>
          <w:sz w:val="28"/>
          <w:szCs w:val="28"/>
        </w:rPr>
      </w:pPr>
    </w:p>
    <w:p w14:paraId="51375A53">
      <w:pPr>
        <w:snapToGrid w:val="0"/>
        <w:spacing w:line="360" w:lineRule="auto"/>
        <w:ind w:firstLine="540" w:firstLineChars="192"/>
        <w:contextualSpacing/>
        <w:rPr>
          <w:rFonts w:hint="eastAsia" w:ascii="宋体" w:hAnsi="宋体" w:cs="宋体"/>
          <w:b/>
          <w:color w:val="auto"/>
          <w:kern w:val="0"/>
          <w:sz w:val="28"/>
          <w:szCs w:val="28"/>
        </w:rPr>
      </w:pPr>
    </w:p>
    <w:p w14:paraId="5C6EAEA3">
      <w:pPr>
        <w:snapToGrid w:val="0"/>
        <w:spacing w:line="360" w:lineRule="auto"/>
        <w:ind w:firstLine="540" w:firstLineChars="192"/>
        <w:contextualSpacing/>
        <w:rPr>
          <w:rFonts w:hint="eastAsia" w:ascii="宋体" w:hAnsi="宋体" w:cs="宋体"/>
          <w:b/>
          <w:color w:val="auto"/>
          <w:kern w:val="0"/>
          <w:sz w:val="28"/>
          <w:szCs w:val="28"/>
        </w:rPr>
      </w:pPr>
    </w:p>
    <w:p w14:paraId="65CEC7A2">
      <w:pPr>
        <w:snapToGrid w:val="0"/>
        <w:spacing w:line="360" w:lineRule="auto"/>
        <w:ind w:firstLine="540" w:firstLineChars="192"/>
        <w:contextualSpacing/>
        <w:rPr>
          <w:rFonts w:hint="eastAsia" w:ascii="宋体" w:hAnsi="宋体" w:cs="宋体"/>
          <w:b/>
          <w:color w:val="auto"/>
          <w:kern w:val="0"/>
          <w:sz w:val="28"/>
          <w:szCs w:val="28"/>
        </w:rPr>
      </w:pPr>
    </w:p>
    <w:p w14:paraId="64E06453">
      <w:pPr>
        <w:snapToGrid w:val="0"/>
        <w:spacing w:line="360" w:lineRule="auto"/>
        <w:jc w:val="left"/>
        <w:rPr>
          <w:rFonts w:hint="eastAsia" w:ascii="宋体" w:hAnsi="宋体" w:eastAsia="宋体" w:cs="宋体"/>
          <w:color w:val="auto"/>
          <w:kern w:val="0"/>
          <w:sz w:val="32"/>
          <w:szCs w:val="32"/>
          <w:lang w:val="en-US" w:eastAsia="zh-CN"/>
        </w:rPr>
      </w:pPr>
      <w:r>
        <w:rPr>
          <w:rFonts w:hint="eastAsia" w:ascii="宋体" w:hAnsi="宋体" w:cs="宋体"/>
          <w:color w:val="auto"/>
          <w:sz w:val="32"/>
          <w:szCs w:val="32"/>
        </w:rPr>
        <w:br w:type="page"/>
      </w:r>
      <w:r>
        <w:rPr>
          <w:rFonts w:hint="eastAsia" w:ascii="宋体" w:hAnsi="宋体" w:cs="宋体"/>
          <w:color w:val="auto"/>
          <w:kern w:val="0"/>
          <w:sz w:val="32"/>
          <w:szCs w:val="32"/>
        </w:rPr>
        <w:t>附件</w:t>
      </w:r>
      <w:r>
        <w:rPr>
          <w:rFonts w:hint="eastAsia" w:ascii="宋体" w:hAnsi="宋体" w:cs="宋体"/>
          <w:color w:val="auto"/>
          <w:kern w:val="0"/>
          <w:sz w:val="32"/>
          <w:szCs w:val="32"/>
          <w:lang w:val="en-US" w:eastAsia="zh-CN"/>
        </w:rPr>
        <w:t>5</w:t>
      </w:r>
    </w:p>
    <w:p w14:paraId="4DBF9F1B">
      <w:pPr>
        <w:spacing w:line="400" w:lineRule="exact"/>
        <w:jc w:val="center"/>
        <w:rPr>
          <w:rFonts w:ascii="Calibri" w:hAnsi="Calibri"/>
          <w:b/>
          <w:bCs/>
          <w:color w:val="auto"/>
          <w:sz w:val="32"/>
          <w:szCs w:val="32"/>
        </w:rPr>
      </w:pPr>
      <w:r>
        <w:rPr>
          <w:rFonts w:hint="eastAsia" w:ascii="Calibri" w:hAnsi="Calibri"/>
          <w:b/>
          <w:bCs/>
          <w:color w:val="auto"/>
          <w:sz w:val="32"/>
          <w:szCs w:val="32"/>
        </w:rPr>
        <w:t>分项报价明细表（服务类）</w:t>
      </w:r>
    </w:p>
    <w:p w14:paraId="138793CB">
      <w:pPr>
        <w:snapToGrid w:val="0"/>
        <w:spacing w:line="400" w:lineRule="exact"/>
        <w:rPr>
          <w:rFonts w:ascii="仿宋_GB2312" w:hAnsi="宋体" w:eastAsia="仿宋_GB2312"/>
          <w:color w:val="auto"/>
          <w:sz w:val="28"/>
          <w:szCs w:val="28"/>
        </w:rPr>
      </w:pPr>
      <w:r>
        <w:rPr>
          <w:rFonts w:hint="eastAsia" w:ascii="仿宋_GB2312" w:hAnsi="宋体" w:eastAsia="仿宋_GB2312"/>
          <w:color w:val="auto"/>
          <w:sz w:val="28"/>
          <w:szCs w:val="28"/>
          <w:lang w:eastAsia="zh-CN"/>
        </w:rPr>
        <w:t>供应商</w:t>
      </w:r>
      <w:r>
        <w:rPr>
          <w:rFonts w:hint="eastAsia" w:ascii="仿宋_GB2312" w:hAnsi="宋体" w:eastAsia="仿宋_GB2312"/>
          <w:color w:val="auto"/>
          <w:sz w:val="28"/>
          <w:szCs w:val="28"/>
        </w:rPr>
        <w:t>（盖章）：</w:t>
      </w:r>
    </w:p>
    <w:tbl>
      <w:tblPr>
        <w:tblStyle w:val="27"/>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3491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noWrap w:val="0"/>
            <w:vAlign w:val="center"/>
          </w:tcPr>
          <w:p w14:paraId="4A129F31">
            <w:pPr>
              <w:snapToGrid w:val="0"/>
              <w:spacing w:line="360" w:lineRule="auto"/>
              <w:jc w:val="center"/>
              <w:rPr>
                <w:rFonts w:ascii="宋体" w:hAnsi="宋体"/>
                <w:b/>
                <w:color w:val="auto"/>
                <w:szCs w:val="21"/>
              </w:rPr>
            </w:pPr>
            <w:r>
              <w:rPr>
                <w:rFonts w:hint="eastAsia" w:ascii="宋体" w:hAnsi="宋体"/>
                <w:b/>
                <w:color w:val="auto"/>
                <w:szCs w:val="21"/>
              </w:rPr>
              <w:t>序号</w:t>
            </w:r>
          </w:p>
        </w:tc>
        <w:tc>
          <w:tcPr>
            <w:tcW w:w="1321" w:type="dxa"/>
            <w:noWrap w:val="0"/>
            <w:vAlign w:val="center"/>
          </w:tcPr>
          <w:p w14:paraId="6B0FD813">
            <w:pPr>
              <w:snapToGrid w:val="0"/>
              <w:spacing w:line="360" w:lineRule="auto"/>
              <w:jc w:val="center"/>
              <w:rPr>
                <w:rFonts w:ascii="宋体" w:hAnsi="宋体"/>
                <w:b/>
                <w:color w:val="auto"/>
                <w:szCs w:val="21"/>
              </w:rPr>
            </w:pPr>
            <w:r>
              <w:rPr>
                <w:rFonts w:hint="eastAsia" w:ascii="宋体" w:hAnsi="宋体"/>
                <w:b/>
                <w:color w:val="auto"/>
                <w:szCs w:val="21"/>
              </w:rPr>
              <w:t>名称</w:t>
            </w:r>
          </w:p>
        </w:tc>
        <w:tc>
          <w:tcPr>
            <w:tcW w:w="1417" w:type="dxa"/>
            <w:noWrap w:val="0"/>
            <w:vAlign w:val="center"/>
          </w:tcPr>
          <w:p w14:paraId="5280F9E1">
            <w:pPr>
              <w:snapToGrid w:val="0"/>
              <w:spacing w:line="360" w:lineRule="auto"/>
              <w:jc w:val="center"/>
              <w:rPr>
                <w:rFonts w:ascii="宋体" w:hAnsi="宋体"/>
                <w:b/>
                <w:color w:val="auto"/>
                <w:szCs w:val="21"/>
              </w:rPr>
            </w:pPr>
            <w:r>
              <w:rPr>
                <w:rFonts w:hint="eastAsia" w:ascii="宋体" w:hAnsi="宋体"/>
                <w:b/>
                <w:color w:val="auto"/>
                <w:szCs w:val="21"/>
              </w:rPr>
              <w:t>服务范围</w:t>
            </w:r>
          </w:p>
        </w:tc>
        <w:tc>
          <w:tcPr>
            <w:tcW w:w="1418" w:type="dxa"/>
            <w:noWrap w:val="0"/>
            <w:vAlign w:val="center"/>
          </w:tcPr>
          <w:p w14:paraId="14A697F0">
            <w:pPr>
              <w:snapToGrid w:val="0"/>
              <w:spacing w:line="360" w:lineRule="auto"/>
              <w:jc w:val="center"/>
              <w:rPr>
                <w:rFonts w:ascii="宋体" w:hAnsi="宋体"/>
                <w:b/>
                <w:color w:val="auto"/>
                <w:szCs w:val="21"/>
              </w:rPr>
            </w:pPr>
            <w:r>
              <w:rPr>
                <w:rFonts w:hint="eastAsia" w:ascii="宋体" w:hAnsi="宋体"/>
                <w:b/>
                <w:color w:val="auto"/>
                <w:szCs w:val="21"/>
              </w:rPr>
              <w:t>服务要求</w:t>
            </w:r>
          </w:p>
        </w:tc>
        <w:tc>
          <w:tcPr>
            <w:tcW w:w="1275" w:type="dxa"/>
            <w:noWrap w:val="0"/>
            <w:vAlign w:val="center"/>
          </w:tcPr>
          <w:p w14:paraId="6FA51C96">
            <w:pPr>
              <w:snapToGrid w:val="0"/>
              <w:spacing w:line="360" w:lineRule="auto"/>
              <w:jc w:val="center"/>
              <w:rPr>
                <w:rFonts w:ascii="宋体" w:hAnsi="宋体"/>
                <w:b/>
                <w:color w:val="auto"/>
                <w:szCs w:val="21"/>
              </w:rPr>
            </w:pPr>
            <w:r>
              <w:rPr>
                <w:rFonts w:hint="eastAsia" w:ascii="宋体" w:hAnsi="宋体"/>
                <w:b/>
                <w:color w:val="auto"/>
                <w:szCs w:val="21"/>
              </w:rPr>
              <w:t>服务时间</w:t>
            </w:r>
          </w:p>
        </w:tc>
        <w:tc>
          <w:tcPr>
            <w:tcW w:w="1276" w:type="dxa"/>
            <w:noWrap w:val="0"/>
            <w:vAlign w:val="center"/>
          </w:tcPr>
          <w:p w14:paraId="63601DA8">
            <w:pPr>
              <w:snapToGrid w:val="0"/>
              <w:spacing w:line="360" w:lineRule="auto"/>
              <w:jc w:val="center"/>
              <w:rPr>
                <w:rFonts w:ascii="宋体" w:hAnsi="宋体"/>
                <w:b/>
                <w:color w:val="auto"/>
                <w:szCs w:val="21"/>
              </w:rPr>
            </w:pPr>
            <w:r>
              <w:rPr>
                <w:rFonts w:hint="eastAsia" w:ascii="宋体" w:hAnsi="宋体"/>
                <w:b/>
                <w:color w:val="auto"/>
                <w:szCs w:val="21"/>
              </w:rPr>
              <w:t>服务标准</w:t>
            </w:r>
          </w:p>
        </w:tc>
        <w:tc>
          <w:tcPr>
            <w:tcW w:w="851" w:type="dxa"/>
            <w:noWrap w:val="0"/>
            <w:vAlign w:val="center"/>
          </w:tcPr>
          <w:p w14:paraId="5A343D4E">
            <w:pPr>
              <w:snapToGrid w:val="0"/>
              <w:spacing w:line="360" w:lineRule="auto"/>
              <w:jc w:val="center"/>
              <w:rPr>
                <w:rFonts w:ascii="宋体" w:hAnsi="宋体"/>
                <w:b/>
                <w:color w:val="auto"/>
                <w:szCs w:val="21"/>
              </w:rPr>
            </w:pPr>
            <w:r>
              <w:rPr>
                <w:rFonts w:hint="eastAsia" w:ascii="宋体" w:hAnsi="宋体"/>
                <w:b/>
                <w:color w:val="auto"/>
                <w:szCs w:val="21"/>
              </w:rPr>
              <w:t>金额</w:t>
            </w:r>
          </w:p>
        </w:tc>
        <w:tc>
          <w:tcPr>
            <w:tcW w:w="1151" w:type="dxa"/>
            <w:noWrap w:val="0"/>
            <w:vAlign w:val="center"/>
          </w:tcPr>
          <w:p w14:paraId="23DCA675">
            <w:pPr>
              <w:snapToGrid w:val="0"/>
              <w:spacing w:line="360" w:lineRule="auto"/>
              <w:ind w:firstLine="105" w:firstLineChars="50"/>
              <w:jc w:val="center"/>
              <w:rPr>
                <w:rFonts w:ascii="宋体" w:hAnsi="宋体"/>
                <w:b/>
                <w:color w:val="auto"/>
                <w:szCs w:val="21"/>
              </w:rPr>
            </w:pPr>
            <w:r>
              <w:rPr>
                <w:rFonts w:hint="eastAsia" w:ascii="宋体" w:hAnsi="宋体"/>
                <w:b/>
                <w:color w:val="auto"/>
                <w:szCs w:val="21"/>
              </w:rPr>
              <w:t>备注</w:t>
            </w:r>
          </w:p>
        </w:tc>
      </w:tr>
      <w:tr w14:paraId="14FF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noWrap w:val="0"/>
            <w:vAlign w:val="center"/>
          </w:tcPr>
          <w:p w14:paraId="34B532B9">
            <w:pPr>
              <w:snapToGrid w:val="0"/>
              <w:spacing w:line="360" w:lineRule="auto"/>
              <w:jc w:val="center"/>
              <w:rPr>
                <w:rFonts w:ascii="仿宋_GB2312" w:hAnsi="宋体" w:eastAsia="仿宋_GB2312"/>
                <w:color w:val="auto"/>
                <w:sz w:val="24"/>
              </w:rPr>
            </w:pPr>
            <w:r>
              <w:rPr>
                <w:rFonts w:hint="eastAsia" w:ascii="仿宋_GB2312" w:hAnsi="宋体" w:eastAsia="仿宋_GB2312"/>
                <w:color w:val="auto"/>
                <w:sz w:val="24"/>
              </w:rPr>
              <w:t>1</w:t>
            </w:r>
          </w:p>
        </w:tc>
        <w:tc>
          <w:tcPr>
            <w:tcW w:w="1321" w:type="dxa"/>
            <w:noWrap w:val="0"/>
            <w:vAlign w:val="center"/>
          </w:tcPr>
          <w:p w14:paraId="1D39C996">
            <w:pPr>
              <w:snapToGrid w:val="0"/>
              <w:spacing w:line="360" w:lineRule="auto"/>
              <w:jc w:val="center"/>
              <w:rPr>
                <w:rFonts w:ascii="仿宋_GB2312" w:hAnsi="宋体" w:eastAsia="仿宋_GB2312"/>
                <w:color w:val="auto"/>
                <w:sz w:val="24"/>
              </w:rPr>
            </w:pPr>
          </w:p>
        </w:tc>
        <w:tc>
          <w:tcPr>
            <w:tcW w:w="1417" w:type="dxa"/>
            <w:noWrap w:val="0"/>
            <w:vAlign w:val="center"/>
          </w:tcPr>
          <w:p w14:paraId="4E05DD75">
            <w:pPr>
              <w:snapToGrid w:val="0"/>
              <w:spacing w:line="360" w:lineRule="auto"/>
              <w:jc w:val="center"/>
              <w:rPr>
                <w:rFonts w:ascii="仿宋_GB2312" w:hAnsi="宋体" w:eastAsia="仿宋_GB2312"/>
                <w:color w:val="auto"/>
                <w:sz w:val="24"/>
              </w:rPr>
            </w:pPr>
          </w:p>
        </w:tc>
        <w:tc>
          <w:tcPr>
            <w:tcW w:w="1418" w:type="dxa"/>
            <w:noWrap w:val="0"/>
            <w:vAlign w:val="center"/>
          </w:tcPr>
          <w:p w14:paraId="7CDE71EE">
            <w:pPr>
              <w:snapToGrid w:val="0"/>
              <w:spacing w:line="360" w:lineRule="auto"/>
              <w:jc w:val="center"/>
              <w:rPr>
                <w:rFonts w:ascii="仿宋_GB2312" w:hAnsi="宋体" w:eastAsia="仿宋_GB2312"/>
                <w:color w:val="auto"/>
                <w:sz w:val="24"/>
              </w:rPr>
            </w:pPr>
          </w:p>
        </w:tc>
        <w:tc>
          <w:tcPr>
            <w:tcW w:w="1275" w:type="dxa"/>
            <w:noWrap w:val="0"/>
            <w:vAlign w:val="center"/>
          </w:tcPr>
          <w:p w14:paraId="120D8D6C">
            <w:pPr>
              <w:snapToGrid w:val="0"/>
              <w:spacing w:line="360" w:lineRule="auto"/>
              <w:jc w:val="center"/>
              <w:rPr>
                <w:rFonts w:ascii="仿宋_GB2312" w:hAnsi="宋体" w:eastAsia="仿宋_GB2312"/>
                <w:color w:val="auto"/>
                <w:sz w:val="24"/>
              </w:rPr>
            </w:pPr>
          </w:p>
        </w:tc>
        <w:tc>
          <w:tcPr>
            <w:tcW w:w="1276" w:type="dxa"/>
            <w:noWrap w:val="0"/>
            <w:vAlign w:val="center"/>
          </w:tcPr>
          <w:p w14:paraId="072379BA">
            <w:pPr>
              <w:snapToGrid w:val="0"/>
              <w:spacing w:line="360" w:lineRule="auto"/>
              <w:jc w:val="center"/>
              <w:rPr>
                <w:rFonts w:ascii="仿宋_GB2312" w:hAnsi="宋体" w:eastAsia="仿宋_GB2312"/>
                <w:color w:val="auto"/>
                <w:sz w:val="24"/>
              </w:rPr>
            </w:pPr>
          </w:p>
        </w:tc>
        <w:tc>
          <w:tcPr>
            <w:tcW w:w="851" w:type="dxa"/>
            <w:noWrap w:val="0"/>
            <w:vAlign w:val="center"/>
          </w:tcPr>
          <w:p w14:paraId="345FEEC2">
            <w:pPr>
              <w:snapToGrid w:val="0"/>
              <w:spacing w:line="360" w:lineRule="auto"/>
              <w:jc w:val="center"/>
              <w:rPr>
                <w:rFonts w:ascii="仿宋_GB2312" w:hAnsi="宋体" w:eastAsia="仿宋_GB2312"/>
                <w:color w:val="auto"/>
                <w:sz w:val="24"/>
              </w:rPr>
            </w:pPr>
          </w:p>
        </w:tc>
        <w:tc>
          <w:tcPr>
            <w:tcW w:w="1151" w:type="dxa"/>
            <w:noWrap w:val="0"/>
            <w:vAlign w:val="center"/>
          </w:tcPr>
          <w:p w14:paraId="7703B4FB">
            <w:pPr>
              <w:snapToGrid w:val="0"/>
              <w:spacing w:line="360" w:lineRule="auto"/>
              <w:jc w:val="center"/>
              <w:rPr>
                <w:rFonts w:ascii="仿宋_GB2312" w:hAnsi="宋体" w:eastAsia="仿宋_GB2312"/>
                <w:color w:val="auto"/>
                <w:sz w:val="24"/>
              </w:rPr>
            </w:pPr>
          </w:p>
        </w:tc>
      </w:tr>
      <w:tr w14:paraId="5AB9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noWrap w:val="0"/>
            <w:vAlign w:val="center"/>
          </w:tcPr>
          <w:p w14:paraId="4361577A">
            <w:pPr>
              <w:snapToGrid w:val="0"/>
              <w:spacing w:line="360" w:lineRule="auto"/>
              <w:jc w:val="center"/>
              <w:rPr>
                <w:rFonts w:ascii="仿宋_GB2312" w:hAnsi="宋体" w:eastAsia="仿宋_GB2312"/>
                <w:color w:val="auto"/>
                <w:sz w:val="24"/>
              </w:rPr>
            </w:pPr>
            <w:r>
              <w:rPr>
                <w:rFonts w:hint="eastAsia" w:ascii="仿宋_GB2312" w:hAnsi="宋体" w:eastAsia="仿宋_GB2312"/>
                <w:color w:val="auto"/>
                <w:sz w:val="24"/>
              </w:rPr>
              <w:t>2</w:t>
            </w:r>
          </w:p>
        </w:tc>
        <w:tc>
          <w:tcPr>
            <w:tcW w:w="1321" w:type="dxa"/>
            <w:noWrap w:val="0"/>
            <w:vAlign w:val="center"/>
          </w:tcPr>
          <w:p w14:paraId="1658E377">
            <w:pPr>
              <w:snapToGrid w:val="0"/>
              <w:spacing w:line="360" w:lineRule="auto"/>
              <w:jc w:val="center"/>
              <w:rPr>
                <w:rFonts w:ascii="仿宋_GB2312" w:hAnsi="宋体" w:eastAsia="仿宋_GB2312"/>
                <w:color w:val="auto"/>
                <w:sz w:val="24"/>
              </w:rPr>
            </w:pPr>
          </w:p>
        </w:tc>
        <w:tc>
          <w:tcPr>
            <w:tcW w:w="1417" w:type="dxa"/>
            <w:noWrap w:val="0"/>
            <w:vAlign w:val="center"/>
          </w:tcPr>
          <w:p w14:paraId="52C1D2DF">
            <w:pPr>
              <w:snapToGrid w:val="0"/>
              <w:spacing w:line="360" w:lineRule="auto"/>
              <w:jc w:val="center"/>
              <w:rPr>
                <w:rFonts w:ascii="仿宋_GB2312" w:hAnsi="宋体" w:eastAsia="仿宋_GB2312"/>
                <w:color w:val="auto"/>
                <w:sz w:val="24"/>
              </w:rPr>
            </w:pPr>
          </w:p>
        </w:tc>
        <w:tc>
          <w:tcPr>
            <w:tcW w:w="1418" w:type="dxa"/>
            <w:noWrap w:val="0"/>
            <w:vAlign w:val="center"/>
          </w:tcPr>
          <w:p w14:paraId="2664E599">
            <w:pPr>
              <w:snapToGrid w:val="0"/>
              <w:spacing w:line="360" w:lineRule="auto"/>
              <w:jc w:val="center"/>
              <w:rPr>
                <w:rFonts w:ascii="仿宋_GB2312" w:hAnsi="宋体" w:eastAsia="仿宋_GB2312"/>
                <w:color w:val="auto"/>
                <w:sz w:val="24"/>
              </w:rPr>
            </w:pPr>
          </w:p>
        </w:tc>
        <w:tc>
          <w:tcPr>
            <w:tcW w:w="1275" w:type="dxa"/>
            <w:noWrap w:val="0"/>
            <w:vAlign w:val="center"/>
          </w:tcPr>
          <w:p w14:paraId="7194B6A4">
            <w:pPr>
              <w:snapToGrid w:val="0"/>
              <w:spacing w:line="360" w:lineRule="auto"/>
              <w:jc w:val="center"/>
              <w:rPr>
                <w:rFonts w:ascii="仿宋_GB2312" w:hAnsi="宋体" w:eastAsia="仿宋_GB2312"/>
                <w:color w:val="auto"/>
                <w:sz w:val="24"/>
              </w:rPr>
            </w:pPr>
          </w:p>
        </w:tc>
        <w:tc>
          <w:tcPr>
            <w:tcW w:w="1276" w:type="dxa"/>
            <w:noWrap w:val="0"/>
            <w:vAlign w:val="center"/>
          </w:tcPr>
          <w:p w14:paraId="292CBD08">
            <w:pPr>
              <w:snapToGrid w:val="0"/>
              <w:spacing w:line="360" w:lineRule="auto"/>
              <w:jc w:val="center"/>
              <w:rPr>
                <w:rFonts w:ascii="仿宋_GB2312" w:hAnsi="宋体" w:eastAsia="仿宋_GB2312"/>
                <w:color w:val="auto"/>
                <w:sz w:val="24"/>
              </w:rPr>
            </w:pPr>
          </w:p>
        </w:tc>
        <w:tc>
          <w:tcPr>
            <w:tcW w:w="851" w:type="dxa"/>
            <w:noWrap w:val="0"/>
            <w:vAlign w:val="center"/>
          </w:tcPr>
          <w:p w14:paraId="50A8587C">
            <w:pPr>
              <w:snapToGrid w:val="0"/>
              <w:spacing w:line="360" w:lineRule="auto"/>
              <w:jc w:val="center"/>
              <w:rPr>
                <w:rFonts w:ascii="仿宋_GB2312" w:hAnsi="宋体" w:eastAsia="仿宋_GB2312"/>
                <w:color w:val="auto"/>
                <w:sz w:val="24"/>
              </w:rPr>
            </w:pPr>
          </w:p>
        </w:tc>
        <w:tc>
          <w:tcPr>
            <w:tcW w:w="1151" w:type="dxa"/>
            <w:noWrap w:val="0"/>
            <w:vAlign w:val="center"/>
          </w:tcPr>
          <w:p w14:paraId="46326B1A">
            <w:pPr>
              <w:snapToGrid w:val="0"/>
              <w:spacing w:line="360" w:lineRule="auto"/>
              <w:jc w:val="center"/>
              <w:rPr>
                <w:rFonts w:ascii="仿宋_GB2312" w:hAnsi="宋体" w:eastAsia="仿宋_GB2312"/>
                <w:color w:val="auto"/>
                <w:sz w:val="24"/>
              </w:rPr>
            </w:pPr>
          </w:p>
        </w:tc>
      </w:tr>
      <w:tr w14:paraId="2E65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7D9FE071">
            <w:pPr>
              <w:snapToGrid w:val="0"/>
              <w:spacing w:line="360" w:lineRule="auto"/>
              <w:jc w:val="center"/>
              <w:rPr>
                <w:rFonts w:ascii="仿宋_GB2312" w:hAnsi="宋体" w:eastAsia="仿宋_GB2312"/>
                <w:color w:val="auto"/>
                <w:sz w:val="24"/>
              </w:rPr>
            </w:pPr>
            <w:r>
              <w:rPr>
                <w:rFonts w:hint="eastAsia" w:ascii="仿宋_GB2312" w:hAnsi="宋体" w:eastAsia="仿宋_GB2312"/>
                <w:color w:val="auto"/>
                <w:sz w:val="24"/>
              </w:rPr>
              <w:t>3</w:t>
            </w:r>
          </w:p>
        </w:tc>
        <w:tc>
          <w:tcPr>
            <w:tcW w:w="1321" w:type="dxa"/>
            <w:noWrap w:val="0"/>
            <w:vAlign w:val="center"/>
          </w:tcPr>
          <w:p w14:paraId="550BB19F">
            <w:pPr>
              <w:snapToGrid w:val="0"/>
              <w:spacing w:line="360" w:lineRule="auto"/>
              <w:jc w:val="center"/>
              <w:rPr>
                <w:rFonts w:ascii="仿宋_GB2312" w:hAnsi="宋体" w:eastAsia="仿宋_GB2312"/>
                <w:color w:val="auto"/>
                <w:sz w:val="24"/>
              </w:rPr>
            </w:pPr>
          </w:p>
        </w:tc>
        <w:tc>
          <w:tcPr>
            <w:tcW w:w="1417" w:type="dxa"/>
            <w:noWrap w:val="0"/>
            <w:vAlign w:val="center"/>
          </w:tcPr>
          <w:p w14:paraId="6B028733">
            <w:pPr>
              <w:snapToGrid w:val="0"/>
              <w:spacing w:line="360" w:lineRule="auto"/>
              <w:jc w:val="center"/>
              <w:rPr>
                <w:rFonts w:ascii="仿宋_GB2312" w:hAnsi="宋体" w:eastAsia="仿宋_GB2312"/>
                <w:color w:val="auto"/>
                <w:sz w:val="24"/>
              </w:rPr>
            </w:pPr>
          </w:p>
        </w:tc>
        <w:tc>
          <w:tcPr>
            <w:tcW w:w="1418" w:type="dxa"/>
            <w:noWrap w:val="0"/>
            <w:vAlign w:val="center"/>
          </w:tcPr>
          <w:p w14:paraId="5893849F">
            <w:pPr>
              <w:snapToGrid w:val="0"/>
              <w:spacing w:line="360" w:lineRule="auto"/>
              <w:jc w:val="center"/>
              <w:rPr>
                <w:rFonts w:ascii="仿宋_GB2312" w:hAnsi="宋体" w:eastAsia="仿宋_GB2312"/>
                <w:color w:val="auto"/>
                <w:sz w:val="24"/>
              </w:rPr>
            </w:pPr>
          </w:p>
        </w:tc>
        <w:tc>
          <w:tcPr>
            <w:tcW w:w="1275" w:type="dxa"/>
            <w:noWrap w:val="0"/>
            <w:vAlign w:val="center"/>
          </w:tcPr>
          <w:p w14:paraId="2A5ECAD8">
            <w:pPr>
              <w:snapToGrid w:val="0"/>
              <w:spacing w:line="360" w:lineRule="auto"/>
              <w:jc w:val="center"/>
              <w:rPr>
                <w:rFonts w:ascii="仿宋_GB2312" w:hAnsi="宋体" w:eastAsia="仿宋_GB2312"/>
                <w:color w:val="auto"/>
                <w:sz w:val="24"/>
              </w:rPr>
            </w:pPr>
          </w:p>
        </w:tc>
        <w:tc>
          <w:tcPr>
            <w:tcW w:w="1276" w:type="dxa"/>
            <w:noWrap w:val="0"/>
            <w:vAlign w:val="center"/>
          </w:tcPr>
          <w:p w14:paraId="5C623205">
            <w:pPr>
              <w:snapToGrid w:val="0"/>
              <w:spacing w:line="360" w:lineRule="auto"/>
              <w:jc w:val="center"/>
              <w:rPr>
                <w:rFonts w:ascii="仿宋_GB2312" w:hAnsi="宋体" w:eastAsia="仿宋_GB2312"/>
                <w:color w:val="auto"/>
                <w:sz w:val="24"/>
              </w:rPr>
            </w:pPr>
          </w:p>
        </w:tc>
        <w:tc>
          <w:tcPr>
            <w:tcW w:w="851" w:type="dxa"/>
            <w:noWrap w:val="0"/>
            <w:vAlign w:val="center"/>
          </w:tcPr>
          <w:p w14:paraId="5DF250B5">
            <w:pPr>
              <w:snapToGrid w:val="0"/>
              <w:spacing w:line="360" w:lineRule="auto"/>
              <w:jc w:val="center"/>
              <w:rPr>
                <w:rFonts w:ascii="仿宋_GB2312" w:hAnsi="宋体" w:eastAsia="仿宋_GB2312"/>
                <w:color w:val="auto"/>
                <w:sz w:val="24"/>
              </w:rPr>
            </w:pPr>
          </w:p>
        </w:tc>
        <w:tc>
          <w:tcPr>
            <w:tcW w:w="1151" w:type="dxa"/>
            <w:noWrap w:val="0"/>
            <w:vAlign w:val="center"/>
          </w:tcPr>
          <w:p w14:paraId="3532F9B6">
            <w:pPr>
              <w:snapToGrid w:val="0"/>
              <w:spacing w:line="360" w:lineRule="auto"/>
              <w:jc w:val="center"/>
              <w:rPr>
                <w:rFonts w:ascii="仿宋_GB2312" w:hAnsi="宋体" w:eastAsia="仿宋_GB2312"/>
                <w:color w:val="auto"/>
                <w:sz w:val="24"/>
              </w:rPr>
            </w:pPr>
          </w:p>
        </w:tc>
      </w:tr>
      <w:tr w14:paraId="4636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0DC4C24E">
            <w:pPr>
              <w:snapToGrid w:val="0"/>
              <w:spacing w:line="360" w:lineRule="auto"/>
              <w:jc w:val="center"/>
              <w:rPr>
                <w:rFonts w:ascii="仿宋_GB2312" w:hAnsi="宋体" w:eastAsia="仿宋_GB2312"/>
                <w:color w:val="auto"/>
                <w:sz w:val="24"/>
              </w:rPr>
            </w:pPr>
            <w:r>
              <w:rPr>
                <w:rFonts w:hint="eastAsia" w:ascii="仿宋_GB2312" w:hAnsi="宋体" w:eastAsia="仿宋_GB2312"/>
                <w:color w:val="auto"/>
                <w:sz w:val="24"/>
              </w:rPr>
              <w:t>4</w:t>
            </w:r>
          </w:p>
        </w:tc>
        <w:tc>
          <w:tcPr>
            <w:tcW w:w="1321" w:type="dxa"/>
            <w:noWrap w:val="0"/>
            <w:vAlign w:val="center"/>
          </w:tcPr>
          <w:p w14:paraId="79879EFB">
            <w:pPr>
              <w:snapToGrid w:val="0"/>
              <w:spacing w:line="360" w:lineRule="auto"/>
              <w:jc w:val="center"/>
              <w:rPr>
                <w:rFonts w:ascii="仿宋_GB2312" w:hAnsi="宋体" w:eastAsia="仿宋_GB2312"/>
                <w:color w:val="auto"/>
                <w:sz w:val="24"/>
              </w:rPr>
            </w:pPr>
          </w:p>
        </w:tc>
        <w:tc>
          <w:tcPr>
            <w:tcW w:w="1417" w:type="dxa"/>
            <w:noWrap w:val="0"/>
            <w:vAlign w:val="center"/>
          </w:tcPr>
          <w:p w14:paraId="7B438CAD">
            <w:pPr>
              <w:snapToGrid w:val="0"/>
              <w:spacing w:line="360" w:lineRule="auto"/>
              <w:jc w:val="center"/>
              <w:rPr>
                <w:rFonts w:ascii="仿宋_GB2312" w:hAnsi="宋体" w:eastAsia="仿宋_GB2312"/>
                <w:color w:val="auto"/>
                <w:sz w:val="24"/>
              </w:rPr>
            </w:pPr>
          </w:p>
        </w:tc>
        <w:tc>
          <w:tcPr>
            <w:tcW w:w="1418" w:type="dxa"/>
            <w:noWrap w:val="0"/>
            <w:vAlign w:val="center"/>
          </w:tcPr>
          <w:p w14:paraId="23F58D62">
            <w:pPr>
              <w:snapToGrid w:val="0"/>
              <w:spacing w:line="360" w:lineRule="auto"/>
              <w:jc w:val="center"/>
              <w:rPr>
                <w:rFonts w:ascii="仿宋_GB2312" w:hAnsi="宋体" w:eastAsia="仿宋_GB2312"/>
                <w:color w:val="auto"/>
                <w:sz w:val="24"/>
              </w:rPr>
            </w:pPr>
          </w:p>
        </w:tc>
        <w:tc>
          <w:tcPr>
            <w:tcW w:w="1275" w:type="dxa"/>
            <w:noWrap w:val="0"/>
            <w:vAlign w:val="center"/>
          </w:tcPr>
          <w:p w14:paraId="1F06D773">
            <w:pPr>
              <w:snapToGrid w:val="0"/>
              <w:spacing w:line="360" w:lineRule="auto"/>
              <w:jc w:val="center"/>
              <w:rPr>
                <w:rFonts w:ascii="仿宋_GB2312" w:hAnsi="宋体" w:eastAsia="仿宋_GB2312"/>
                <w:color w:val="auto"/>
                <w:sz w:val="24"/>
              </w:rPr>
            </w:pPr>
          </w:p>
        </w:tc>
        <w:tc>
          <w:tcPr>
            <w:tcW w:w="1276" w:type="dxa"/>
            <w:noWrap w:val="0"/>
            <w:vAlign w:val="center"/>
          </w:tcPr>
          <w:p w14:paraId="6DFD1A12">
            <w:pPr>
              <w:snapToGrid w:val="0"/>
              <w:spacing w:line="360" w:lineRule="auto"/>
              <w:jc w:val="center"/>
              <w:rPr>
                <w:rFonts w:ascii="仿宋_GB2312" w:hAnsi="宋体" w:eastAsia="仿宋_GB2312"/>
                <w:color w:val="auto"/>
                <w:sz w:val="24"/>
              </w:rPr>
            </w:pPr>
          </w:p>
        </w:tc>
        <w:tc>
          <w:tcPr>
            <w:tcW w:w="851" w:type="dxa"/>
            <w:noWrap w:val="0"/>
            <w:vAlign w:val="center"/>
          </w:tcPr>
          <w:p w14:paraId="653ED94F">
            <w:pPr>
              <w:snapToGrid w:val="0"/>
              <w:spacing w:line="360" w:lineRule="auto"/>
              <w:jc w:val="center"/>
              <w:rPr>
                <w:rFonts w:ascii="仿宋_GB2312" w:hAnsi="宋体" w:eastAsia="仿宋_GB2312"/>
                <w:color w:val="auto"/>
                <w:sz w:val="24"/>
              </w:rPr>
            </w:pPr>
          </w:p>
        </w:tc>
        <w:tc>
          <w:tcPr>
            <w:tcW w:w="1151" w:type="dxa"/>
            <w:noWrap w:val="0"/>
            <w:vAlign w:val="center"/>
          </w:tcPr>
          <w:p w14:paraId="6D65EE9B">
            <w:pPr>
              <w:snapToGrid w:val="0"/>
              <w:spacing w:line="360" w:lineRule="auto"/>
              <w:jc w:val="center"/>
              <w:rPr>
                <w:rFonts w:ascii="仿宋_GB2312" w:hAnsi="宋体" w:eastAsia="仿宋_GB2312"/>
                <w:color w:val="auto"/>
                <w:sz w:val="24"/>
              </w:rPr>
            </w:pPr>
          </w:p>
        </w:tc>
      </w:tr>
      <w:tr w14:paraId="13D4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4AD5E861">
            <w:pPr>
              <w:snapToGrid w:val="0"/>
              <w:spacing w:line="360" w:lineRule="auto"/>
              <w:jc w:val="center"/>
              <w:rPr>
                <w:rFonts w:ascii="仿宋_GB2312" w:hAnsi="宋体" w:eastAsia="仿宋_GB2312"/>
                <w:color w:val="auto"/>
                <w:sz w:val="24"/>
              </w:rPr>
            </w:pPr>
            <w:r>
              <w:rPr>
                <w:rFonts w:hint="eastAsia" w:ascii="仿宋_GB2312" w:hAnsi="宋体" w:eastAsia="仿宋_GB2312"/>
                <w:color w:val="auto"/>
                <w:sz w:val="24"/>
              </w:rPr>
              <w:t>5</w:t>
            </w:r>
          </w:p>
        </w:tc>
        <w:tc>
          <w:tcPr>
            <w:tcW w:w="1321" w:type="dxa"/>
            <w:noWrap w:val="0"/>
            <w:vAlign w:val="center"/>
          </w:tcPr>
          <w:p w14:paraId="65D8C533">
            <w:pPr>
              <w:snapToGrid w:val="0"/>
              <w:spacing w:line="360" w:lineRule="auto"/>
              <w:jc w:val="center"/>
              <w:rPr>
                <w:rFonts w:ascii="仿宋_GB2312" w:hAnsi="宋体" w:eastAsia="仿宋_GB2312"/>
                <w:color w:val="auto"/>
                <w:sz w:val="24"/>
              </w:rPr>
            </w:pPr>
          </w:p>
        </w:tc>
        <w:tc>
          <w:tcPr>
            <w:tcW w:w="1417" w:type="dxa"/>
            <w:noWrap w:val="0"/>
            <w:vAlign w:val="center"/>
          </w:tcPr>
          <w:p w14:paraId="6C5C59EE">
            <w:pPr>
              <w:snapToGrid w:val="0"/>
              <w:spacing w:line="360" w:lineRule="auto"/>
              <w:jc w:val="center"/>
              <w:rPr>
                <w:rFonts w:ascii="仿宋_GB2312" w:hAnsi="宋体" w:eastAsia="仿宋_GB2312"/>
                <w:color w:val="auto"/>
                <w:sz w:val="24"/>
              </w:rPr>
            </w:pPr>
          </w:p>
        </w:tc>
        <w:tc>
          <w:tcPr>
            <w:tcW w:w="1418" w:type="dxa"/>
            <w:noWrap w:val="0"/>
            <w:vAlign w:val="center"/>
          </w:tcPr>
          <w:p w14:paraId="30E5AAF9">
            <w:pPr>
              <w:snapToGrid w:val="0"/>
              <w:spacing w:line="360" w:lineRule="auto"/>
              <w:jc w:val="center"/>
              <w:rPr>
                <w:rFonts w:ascii="仿宋_GB2312" w:hAnsi="宋体" w:eastAsia="仿宋_GB2312"/>
                <w:color w:val="auto"/>
                <w:sz w:val="24"/>
              </w:rPr>
            </w:pPr>
          </w:p>
        </w:tc>
        <w:tc>
          <w:tcPr>
            <w:tcW w:w="1275" w:type="dxa"/>
            <w:noWrap w:val="0"/>
            <w:vAlign w:val="center"/>
          </w:tcPr>
          <w:p w14:paraId="2EC19454">
            <w:pPr>
              <w:snapToGrid w:val="0"/>
              <w:spacing w:line="360" w:lineRule="auto"/>
              <w:jc w:val="center"/>
              <w:rPr>
                <w:rFonts w:ascii="仿宋_GB2312" w:hAnsi="宋体" w:eastAsia="仿宋_GB2312"/>
                <w:color w:val="auto"/>
                <w:sz w:val="24"/>
              </w:rPr>
            </w:pPr>
          </w:p>
        </w:tc>
        <w:tc>
          <w:tcPr>
            <w:tcW w:w="1276" w:type="dxa"/>
            <w:noWrap w:val="0"/>
            <w:vAlign w:val="center"/>
          </w:tcPr>
          <w:p w14:paraId="27195F11">
            <w:pPr>
              <w:snapToGrid w:val="0"/>
              <w:spacing w:line="360" w:lineRule="auto"/>
              <w:jc w:val="center"/>
              <w:rPr>
                <w:rFonts w:ascii="仿宋_GB2312" w:hAnsi="宋体" w:eastAsia="仿宋_GB2312"/>
                <w:color w:val="auto"/>
                <w:sz w:val="24"/>
              </w:rPr>
            </w:pPr>
          </w:p>
        </w:tc>
        <w:tc>
          <w:tcPr>
            <w:tcW w:w="851" w:type="dxa"/>
            <w:noWrap w:val="0"/>
            <w:vAlign w:val="center"/>
          </w:tcPr>
          <w:p w14:paraId="45216FB3">
            <w:pPr>
              <w:snapToGrid w:val="0"/>
              <w:spacing w:line="360" w:lineRule="auto"/>
              <w:jc w:val="center"/>
              <w:rPr>
                <w:rFonts w:ascii="仿宋_GB2312" w:hAnsi="宋体" w:eastAsia="仿宋_GB2312"/>
                <w:color w:val="auto"/>
                <w:sz w:val="24"/>
              </w:rPr>
            </w:pPr>
          </w:p>
        </w:tc>
        <w:tc>
          <w:tcPr>
            <w:tcW w:w="1151" w:type="dxa"/>
            <w:noWrap w:val="0"/>
            <w:vAlign w:val="center"/>
          </w:tcPr>
          <w:p w14:paraId="781D9CD7">
            <w:pPr>
              <w:snapToGrid w:val="0"/>
              <w:spacing w:line="360" w:lineRule="auto"/>
              <w:jc w:val="center"/>
              <w:rPr>
                <w:rFonts w:ascii="仿宋_GB2312" w:hAnsi="宋体" w:eastAsia="仿宋_GB2312"/>
                <w:color w:val="auto"/>
                <w:sz w:val="24"/>
              </w:rPr>
            </w:pPr>
          </w:p>
        </w:tc>
      </w:tr>
      <w:tr w14:paraId="7E56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noWrap w:val="0"/>
            <w:vAlign w:val="center"/>
          </w:tcPr>
          <w:p w14:paraId="58182E22">
            <w:pPr>
              <w:snapToGrid w:val="0"/>
              <w:spacing w:line="360" w:lineRule="auto"/>
              <w:jc w:val="center"/>
              <w:rPr>
                <w:rFonts w:ascii="仿宋_GB2312" w:hAnsi="宋体" w:eastAsia="仿宋_GB2312"/>
                <w:color w:val="auto"/>
                <w:sz w:val="24"/>
              </w:rPr>
            </w:pPr>
            <w:r>
              <w:rPr>
                <w:rFonts w:hint="eastAsia" w:ascii="仿宋_GB2312" w:hAnsi="宋体" w:eastAsia="仿宋_GB2312"/>
                <w:color w:val="auto"/>
                <w:sz w:val="24"/>
              </w:rPr>
              <w:t>合计</w:t>
            </w:r>
          </w:p>
        </w:tc>
        <w:tc>
          <w:tcPr>
            <w:tcW w:w="8709" w:type="dxa"/>
            <w:gridSpan w:val="7"/>
            <w:noWrap w:val="0"/>
            <w:vAlign w:val="center"/>
          </w:tcPr>
          <w:p w14:paraId="478DAAC7">
            <w:pPr>
              <w:snapToGrid w:val="0"/>
              <w:spacing w:line="360" w:lineRule="auto"/>
              <w:jc w:val="center"/>
              <w:rPr>
                <w:rFonts w:ascii="仿宋_GB2312" w:hAnsi="宋体" w:eastAsia="仿宋_GB2312"/>
                <w:color w:val="auto"/>
                <w:sz w:val="24"/>
              </w:rPr>
            </w:pPr>
          </w:p>
        </w:tc>
      </w:tr>
    </w:tbl>
    <w:p w14:paraId="3C2257D1">
      <w:pPr>
        <w:snapToGrid w:val="0"/>
        <w:spacing w:line="300" w:lineRule="auto"/>
        <w:jc w:val="left"/>
        <w:outlineLvl w:val="0"/>
        <w:rPr>
          <w:rFonts w:hint="eastAsia" w:ascii="宋体" w:hAnsi="宋体" w:cs="宋体"/>
          <w:color w:val="auto"/>
          <w:sz w:val="32"/>
          <w:szCs w:val="32"/>
          <w:lang w:val="en-US" w:eastAsia="zh-CN"/>
        </w:rPr>
      </w:pPr>
      <w:r>
        <w:rPr>
          <w:rFonts w:hint="eastAsia" w:ascii="宋体" w:hAnsi="宋体" w:cs="宋体"/>
          <w:color w:val="auto"/>
          <w:sz w:val="32"/>
          <w:szCs w:val="32"/>
        </w:rPr>
        <w:br w:type="page"/>
      </w:r>
      <w:r>
        <w:rPr>
          <w:rFonts w:hint="eastAsia" w:ascii="宋体" w:hAnsi="宋体" w:cs="宋体"/>
          <w:color w:val="auto"/>
          <w:sz w:val="32"/>
          <w:szCs w:val="32"/>
        </w:rPr>
        <w:t>附件</w:t>
      </w:r>
      <w:r>
        <w:rPr>
          <w:rFonts w:hint="eastAsia" w:ascii="宋体" w:hAnsi="宋体" w:cs="宋体"/>
          <w:color w:val="auto"/>
          <w:sz w:val="32"/>
          <w:szCs w:val="32"/>
          <w:lang w:val="en-US" w:eastAsia="zh-CN"/>
        </w:rPr>
        <w:t>6</w:t>
      </w:r>
    </w:p>
    <w:p w14:paraId="70AF2D87">
      <w:pPr>
        <w:snapToGrid w:val="0"/>
        <w:spacing w:line="300" w:lineRule="auto"/>
        <w:jc w:val="center"/>
        <w:outlineLvl w:val="0"/>
        <w:rPr>
          <w:rFonts w:hint="eastAsia" w:ascii="宋体" w:hAnsi="宋体" w:eastAsia="宋体" w:cs="宋体"/>
          <w:b/>
          <w:bCs/>
          <w:color w:val="000000"/>
          <w:sz w:val="28"/>
          <w:szCs w:val="28"/>
          <w:lang w:bidi="zh-CN"/>
        </w:rPr>
      </w:pPr>
      <w:r>
        <w:rPr>
          <w:rFonts w:hint="eastAsia" w:ascii="宋体" w:hAnsi="宋体" w:eastAsia="宋体" w:cs="宋体"/>
          <w:b/>
          <w:bCs/>
          <w:color w:val="000000"/>
          <w:sz w:val="28"/>
          <w:szCs w:val="28"/>
          <w:lang w:bidi="zh-CN"/>
        </w:rPr>
        <w:t>小微企业声明函（</w:t>
      </w:r>
      <w:r>
        <w:rPr>
          <w:rFonts w:hint="eastAsia" w:ascii="宋体" w:hAnsi="宋体" w:eastAsia="宋体" w:cs="宋体"/>
          <w:b/>
          <w:bCs/>
          <w:color w:val="000000"/>
          <w:sz w:val="28"/>
          <w:szCs w:val="28"/>
          <w:lang w:eastAsia="zh-CN" w:bidi="zh-CN"/>
        </w:rPr>
        <w:t>服务</w:t>
      </w:r>
      <w:r>
        <w:rPr>
          <w:rFonts w:hint="eastAsia" w:ascii="宋体" w:hAnsi="宋体" w:eastAsia="宋体" w:cs="宋体"/>
          <w:b/>
          <w:bCs/>
          <w:color w:val="000000"/>
          <w:sz w:val="28"/>
          <w:szCs w:val="28"/>
          <w:lang w:bidi="zh-CN"/>
        </w:rPr>
        <w:t>）</w:t>
      </w:r>
    </w:p>
    <w:p w14:paraId="3375989E">
      <w:pPr>
        <w:pStyle w:val="10"/>
        <w:spacing w:before="55" w:line="520" w:lineRule="exact"/>
        <w:ind w:right="415" w:firstLine="640"/>
        <w:rPr>
          <w:rFonts w:hint="eastAsia" w:ascii="宋体" w:hAnsi="宋体" w:eastAsia="宋体" w:cs="宋体"/>
          <w:i w:val="0"/>
          <w:iCs w:val="0"/>
          <w:szCs w:val="24"/>
        </w:rPr>
      </w:pPr>
      <w:r>
        <w:rPr>
          <w:rFonts w:hint="eastAsia" w:ascii="宋体" w:hAnsi="宋体" w:eastAsia="宋体" w:cs="宋体"/>
          <w:i w:val="0"/>
          <w:iCs w:val="0"/>
          <w:szCs w:val="24"/>
        </w:rPr>
        <w:t>本公司郑重声明，根据《政府采购促进中小企业发展管理办法》（财库﹝2020﹞46 号）的规定，本公司参加</w:t>
      </w:r>
      <w:r>
        <w:rPr>
          <w:rFonts w:hint="eastAsia" w:ascii="宋体" w:hAnsi="宋体" w:eastAsia="宋体" w:cs="宋体"/>
          <w:i w:val="0"/>
          <w:iCs w:val="0"/>
          <w:szCs w:val="24"/>
          <w:u w:val="single"/>
        </w:rPr>
        <w:t>（单位名称）</w:t>
      </w:r>
      <w:r>
        <w:rPr>
          <w:rFonts w:hint="eastAsia" w:ascii="宋体" w:hAnsi="宋体" w:eastAsia="宋体" w:cs="宋体"/>
          <w:i w:val="0"/>
          <w:iCs w:val="0"/>
          <w:szCs w:val="24"/>
        </w:rPr>
        <w:t>的</w:t>
      </w:r>
      <w:r>
        <w:rPr>
          <w:rFonts w:hint="eastAsia" w:ascii="宋体" w:hAnsi="宋体" w:eastAsia="宋体" w:cs="宋体"/>
          <w:i w:val="0"/>
          <w:iCs w:val="0"/>
          <w:szCs w:val="24"/>
          <w:u w:val="single"/>
        </w:rPr>
        <w:t>（项目名称）</w:t>
      </w:r>
      <w:r>
        <w:rPr>
          <w:rFonts w:hint="eastAsia" w:ascii="宋体" w:hAnsi="宋体" w:eastAsia="宋体" w:cs="宋体"/>
          <w:i w:val="0"/>
          <w:iCs w:val="0"/>
          <w:szCs w:val="24"/>
        </w:rPr>
        <w:t>采购活动，提</w:t>
      </w:r>
      <w:r>
        <w:rPr>
          <w:rFonts w:hint="eastAsia" w:ascii="宋体" w:hAnsi="宋体" w:eastAsia="宋体" w:cs="宋体"/>
          <w:i w:val="0"/>
          <w:iCs w:val="0"/>
          <w:w w:val="95"/>
          <w:szCs w:val="24"/>
        </w:rPr>
        <w:t>供的</w:t>
      </w:r>
      <w:r>
        <w:rPr>
          <w:rFonts w:hint="eastAsia" w:ascii="宋体" w:hAnsi="宋体" w:eastAsia="宋体" w:cs="宋体"/>
          <w:i w:val="0"/>
          <w:iCs w:val="0"/>
          <w:w w:val="95"/>
          <w:szCs w:val="24"/>
          <w:lang w:eastAsia="zh-CN"/>
        </w:rPr>
        <w:t>服务</w:t>
      </w:r>
      <w:r>
        <w:rPr>
          <w:rFonts w:hint="eastAsia" w:ascii="宋体" w:hAnsi="宋体" w:eastAsia="宋体" w:cs="宋体"/>
          <w:i w:val="0"/>
          <w:iCs w:val="0"/>
          <w:w w:val="95"/>
          <w:szCs w:val="24"/>
        </w:rPr>
        <w:t>全部由符合政策要求的小微企业制造。相关企业</w:t>
      </w:r>
      <w:r>
        <w:rPr>
          <w:rFonts w:hint="eastAsia" w:ascii="宋体" w:hAnsi="宋体" w:eastAsia="宋体" w:cs="宋体"/>
          <w:i w:val="0"/>
          <w:iCs w:val="0"/>
          <w:szCs w:val="24"/>
        </w:rPr>
        <w:t>的具体情况如下：</w:t>
      </w:r>
    </w:p>
    <w:p w14:paraId="0F6B0E23">
      <w:pPr>
        <w:pStyle w:val="93"/>
        <w:numPr>
          <w:ilvl w:val="0"/>
          <w:numId w:val="4"/>
        </w:numPr>
        <w:tabs>
          <w:tab w:val="left" w:pos="1183"/>
          <w:tab w:val="left" w:pos="1484"/>
          <w:tab w:val="left" w:pos="4662"/>
          <w:tab w:val="left" w:pos="6903"/>
        </w:tabs>
        <w:spacing w:line="520" w:lineRule="exact"/>
        <w:ind w:firstLine="480"/>
        <w:rPr>
          <w:rFonts w:hint="eastAsia" w:ascii="宋体" w:hAnsi="宋体" w:eastAsia="宋体" w:cs="宋体"/>
          <w:i w:val="0"/>
          <w:iCs w:val="0"/>
          <w:sz w:val="28"/>
          <w:szCs w:val="28"/>
        </w:rPr>
      </w:pPr>
      <w:r>
        <w:rPr>
          <w:rFonts w:hint="eastAsia" w:ascii="宋体" w:hAnsi="宋体" w:eastAsia="宋体" w:cs="宋体"/>
          <w:i w:val="0"/>
          <w:iCs w:val="0"/>
          <w:sz w:val="28"/>
          <w:szCs w:val="28"/>
          <w:u w:val="single"/>
        </w:rPr>
        <w:t xml:space="preserve"> （标的名称）</w:t>
      </w:r>
      <w:r>
        <w:rPr>
          <w:rFonts w:hint="eastAsia" w:ascii="宋体" w:hAnsi="宋体" w:eastAsia="宋体" w:cs="宋体"/>
          <w:i w:val="0"/>
          <w:iCs w:val="0"/>
          <w:sz w:val="28"/>
          <w:szCs w:val="28"/>
        </w:rPr>
        <w:t xml:space="preserve"> ，属于（</w:t>
      </w:r>
      <w:r>
        <w:rPr>
          <w:rFonts w:hint="eastAsia" w:ascii="宋体" w:hAnsi="宋体" w:eastAsia="宋体" w:cs="宋体"/>
          <w:i w:val="0"/>
          <w:iCs w:val="0"/>
          <w:spacing w:val="-20"/>
          <w:sz w:val="28"/>
          <w:szCs w:val="28"/>
          <w:u w:val="single"/>
        </w:rPr>
        <w:t>采购文件中明确的所属行业</w:t>
      </w:r>
      <w:r>
        <w:rPr>
          <w:rFonts w:hint="eastAsia" w:ascii="宋体" w:hAnsi="宋体" w:eastAsia="宋体" w:cs="宋体"/>
          <w:i w:val="0"/>
          <w:iCs w:val="0"/>
          <w:sz w:val="28"/>
          <w:szCs w:val="28"/>
          <w:u w:val="single"/>
        </w:rPr>
        <w:t>）行业</w:t>
      </w:r>
      <w:r>
        <w:rPr>
          <w:rFonts w:hint="eastAsia" w:ascii="宋体" w:hAnsi="宋体" w:eastAsia="宋体" w:cs="宋体"/>
          <w:i w:val="0"/>
          <w:iCs w:val="0"/>
          <w:sz w:val="28"/>
          <w:szCs w:val="28"/>
        </w:rPr>
        <w:t>；</w:t>
      </w:r>
      <w:r>
        <w:rPr>
          <w:rFonts w:hint="eastAsia" w:ascii="宋体" w:hAnsi="宋体" w:eastAsia="宋体" w:cs="宋体"/>
          <w:i w:val="0"/>
          <w:iCs w:val="0"/>
          <w:sz w:val="28"/>
          <w:szCs w:val="28"/>
          <w:lang w:eastAsia="zh-CN"/>
        </w:rPr>
        <w:t>承接企业</w:t>
      </w:r>
      <w:r>
        <w:rPr>
          <w:rFonts w:hint="eastAsia" w:ascii="宋体" w:hAnsi="宋体" w:eastAsia="宋体" w:cs="宋体"/>
          <w:i w:val="0"/>
          <w:iCs w:val="0"/>
          <w:sz w:val="28"/>
          <w:szCs w:val="28"/>
        </w:rPr>
        <w:t>为</w:t>
      </w:r>
      <w:r>
        <w:rPr>
          <w:rFonts w:hint="eastAsia" w:ascii="宋体" w:hAnsi="宋体" w:eastAsia="宋体" w:cs="宋体"/>
          <w:i w:val="0"/>
          <w:iCs w:val="0"/>
          <w:sz w:val="28"/>
          <w:szCs w:val="28"/>
          <w:u w:val="single"/>
        </w:rPr>
        <w:t>（企业名称）</w:t>
      </w:r>
      <w:r>
        <w:rPr>
          <w:rFonts w:hint="eastAsia" w:ascii="宋体" w:hAnsi="宋体" w:eastAsia="宋体" w:cs="宋体"/>
          <w:i w:val="0"/>
          <w:iCs w:val="0"/>
          <w:sz w:val="28"/>
          <w:szCs w:val="28"/>
        </w:rPr>
        <w:t>，从业人员</w:t>
      </w:r>
      <w:r>
        <w:rPr>
          <w:rFonts w:hint="eastAsia" w:ascii="宋体" w:hAnsi="宋体" w:eastAsia="宋体" w:cs="宋体"/>
          <w:i w:val="0"/>
          <w:iCs w:val="0"/>
          <w:sz w:val="28"/>
          <w:szCs w:val="28"/>
          <w:u w:val="single"/>
        </w:rPr>
        <w:t xml:space="preserve">      </w:t>
      </w:r>
      <w:r>
        <w:rPr>
          <w:rFonts w:hint="eastAsia" w:ascii="宋体" w:hAnsi="宋体" w:eastAsia="宋体" w:cs="宋体"/>
          <w:i w:val="0"/>
          <w:iCs w:val="0"/>
          <w:sz w:val="28"/>
          <w:szCs w:val="28"/>
          <w:u w:val="single"/>
        </w:rPr>
        <w:tab/>
      </w:r>
      <w:r>
        <w:rPr>
          <w:rFonts w:hint="eastAsia" w:ascii="宋体" w:hAnsi="宋体" w:eastAsia="宋体" w:cs="宋体"/>
          <w:i w:val="0"/>
          <w:iCs w:val="0"/>
          <w:sz w:val="28"/>
          <w:szCs w:val="28"/>
        </w:rPr>
        <w:t>人，营业收入为</w:t>
      </w:r>
      <w:r>
        <w:rPr>
          <w:rFonts w:hint="eastAsia" w:ascii="宋体" w:hAnsi="宋体" w:eastAsia="宋体" w:cs="宋体"/>
          <w:i w:val="0"/>
          <w:iCs w:val="0"/>
          <w:sz w:val="28"/>
          <w:szCs w:val="28"/>
          <w:u w:val="single"/>
        </w:rPr>
        <w:t xml:space="preserve">    </w:t>
      </w:r>
      <w:r>
        <w:rPr>
          <w:rFonts w:hint="eastAsia" w:ascii="宋体" w:hAnsi="宋体" w:eastAsia="宋体" w:cs="宋体"/>
          <w:i w:val="0"/>
          <w:iCs w:val="0"/>
          <w:sz w:val="28"/>
          <w:szCs w:val="28"/>
        </w:rPr>
        <w:t>万元，资产总额为</w:t>
      </w:r>
      <w:r>
        <w:rPr>
          <w:rFonts w:hint="eastAsia" w:ascii="宋体" w:hAnsi="宋体" w:eastAsia="宋体" w:cs="宋体"/>
          <w:i w:val="0"/>
          <w:iCs w:val="0"/>
          <w:sz w:val="28"/>
          <w:szCs w:val="28"/>
          <w:u w:val="single"/>
        </w:rPr>
        <w:t xml:space="preserve">    </w:t>
      </w:r>
      <w:r>
        <w:rPr>
          <w:rFonts w:hint="eastAsia" w:ascii="宋体" w:hAnsi="宋体" w:eastAsia="宋体" w:cs="宋体"/>
          <w:i w:val="0"/>
          <w:iCs w:val="0"/>
          <w:sz w:val="28"/>
          <w:szCs w:val="28"/>
        </w:rPr>
        <w:t>万元，属于</w:t>
      </w:r>
      <w:r>
        <w:rPr>
          <w:rFonts w:hint="eastAsia" w:ascii="宋体" w:hAnsi="宋体" w:eastAsia="宋体" w:cs="宋体"/>
          <w:i w:val="0"/>
          <w:iCs w:val="0"/>
          <w:sz w:val="28"/>
          <w:szCs w:val="28"/>
          <w:u w:val="single"/>
        </w:rPr>
        <w:t>（小型企业、微型企业）</w:t>
      </w:r>
    </w:p>
    <w:p w14:paraId="2ED6E8E6">
      <w:pPr>
        <w:pStyle w:val="10"/>
        <w:spacing w:before="105" w:line="520" w:lineRule="exact"/>
        <w:ind w:right="417" w:firstLine="645"/>
        <w:rPr>
          <w:rFonts w:hint="eastAsia" w:ascii="宋体" w:hAnsi="宋体" w:eastAsia="宋体" w:cs="宋体"/>
          <w:szCs w:val="24"/>
        </w:rPr>
      </w:pPr>
      <w:r>
        <w:rPr>
          <w:rFonts w:hint="eastAsia" w:ascii="宋体" w:hAnsi="宋体" w:eastAsia="宋体" w:cs="宋体"/>
          <w:spacing w:val="-3"/>
          <w:szCs w:val="24"/>
        </w:rPr>
        <w:t>以上企业，不属于大企业的分支机构，不存在控股股东</w:t>
      </w:r>
      <w:r>
        <w:rPr>
          <w:rFonts w:hint="eastAsia" w:ascii="宋体" w:hAnsi="宋体" w:eastAsia="宋体" w:cs="宋体"/>
          <w:spacing w:val="-5"/>
          <w:w w:val="95"/>
          <w:szCs w:val="24"/>
        </w:rPr>
        <w:t>为大企业的情形，也不存在与大企业的负责人为同一人的情</w:t>
      </w:r>
      <w:r>
        <w:rPr>
          <w:rFonts w:hint="eastAsia" w:ascii="宋体" w:hAnsi="宋体" w:eastAsia="宋体" w:cs="宋体"/>
          <w:spacing w:val="-5"/>
          <w:szCs w:val="24"/>
        </w:rPr>
        <w:t>形。</w:t>
      </w:r>
    </w:p>
    <w:p w14:paraId="68385320">
      <w:pPr>
        <w:pStyle w:val="10"/>
        <w:spacing w:line="520" w:lineRule="exact"/>
        <w:ind w:right="420" w:firstLine="645"/>
        <w:rPr>
          <w:rFonts w:hint="eastAsia" w:ascii="宋体" w:hAnsi="宋体" w:eastAsia="宋体" w:cs="宋体"/>
          <w:szCs w:val="24"/>
        </w:rPr>
      </w:pPr>
      <w:r>
        <w:rPr>
          <w:rFonts w:hint="eastAsia" w:ascii="宋体" w:hAnsi="宋体" w:eastAsia="宋体" w:cs="宋体"/>
          <w:spacing w:val="-2"/>
          <w:w w:val="95"/>
          <w:szCs w:val="24"/>
        </w:rPr>
        <w:t>本企业对上述声明内容的真实性负责。如有虚假，将依</w:t>
      </w:r>
      <w:r>
        <w:rPr>
          <w:rFonts w:hint="eastAsia" w:ascii="宋体" w:hAnsi="宋体" w:eastAsia="宋体" w:cs="宋体"/>
          <w:spacing w:val="-2"/>
          <w:szCs w:val="24"/>
        </w:rPr>
        <w:t>法承担相应责任。</w:t>
      </w:r>
    </w:p>
    <w:p w14:paraId="3AA3EEF4">
      <w:pPr>
        <w:rPr>
          <w:rFonts w:hint="eastAsia" w:ascii="宋体" w:hAnsi="宋体" w:eastAsia="宋体" w:cs="宋体"/>
        </w:rPr>
      </w:pPr>
    </w:p>
    <w:p w14:paraId="66B6AB99">
      <w:pPr>
        <w:snapToGrid w:val="0"/>
        <w:spacing w:line="300" w:lineRule="auto"/>
        <w:jc w:val="center"/>
        <w:outlineLvl w:val="0"/>
        <w:rPr>
          <w:rFonts w:hint="eastAsia" w:ascii="宋体" w:hAnsi="宋体" w:eastAsia="宋体" w:cs="宋体"/>
          <w:color w:val="000000"/>
          <w:sz w:val="28"/>
          <w:szCs w:val="28"/>
          <w:lang w:bidi="zh-CN"/>
        </w:rPr>
      </w:pPr>
      <w:r>
        <w:rPr>
          <w:rFonts w:hint="eastAsia" w:ascii="宋体" w:hAnsi="宋体" w:eastAsia="宋体" w:cs="宋体"/>
          <w:color w:val="000000"/>
          <w:sz w:val="28"/>
          <w:szCs w:val="28"/>
          <w:lang w:bidi="zh-CN"/>
        </w:rPr>
        <w:t xml:space="preserve">                      企业名称（盖章）：</w:t>
      </w:r>
    </w:p>
    <w:p w14:paraId="49EAE7E2">
      <w:pPr>
        <w:snapToGrid w:val="0"/>
        <w:spacing w:line="300" w:lineRule="auto"/>
        <w:jc w:val="center"/>
        <w:outlineLvl w:val="0"/>
        <w:rPr>
          <w:rFonts w:hint="eastAsia" w:ascii="宋体" w:hAnsi="宋体" w:eastAsia="宋体" w:cs="宋体"/>
          <w:color w:val="000000"/>
          <w:sz w:val="28"/>
          <w:szCs w:val="28"/>
          <w:lang w:bidi="zh-CN"/>
        </w:rPr>
      </w:pPr>
      <w:r>
        <w:rPr>
          <w:rFonts w:hint="eastAsia" w:ascii="宋体" w:hAnsi="宋体" w:eastAsia="宋体" w:cs="宋体"/>
          <w:color w:val="000000"/>
          <w:sz w:val="28"/>
          <w:szCs w:val="28"/>
          <w:lang w:bidi="zh-CN"/>
        </w:rPr>
        <w:t xml:space="preserve">          日期：</w:t>
      </w:r>
    </w:p>
    <w:p w14:paraId="5FC2FF0E">
      <w:pPr>
        <w:snapToGrid w:val="0"/>
        <w:spacing w:line="300" w:lineRule="auto"/>
        <w:ind w:firstLine="4900" w:firstLineChars="1750"/>
        <w:outlineLvl w:val="0"/>
        <w:rPr>
          <w:rFonts w:hint="eastAsia" w:ascii="宋体" w:hAnsi="宋体" w:eastAsia="宋体" w:cs="宋体"/>
          <w:sz w:val="28"/>
          <w:szCs w:val="28"/>
          <w:lang w:bidi="zh-CN"/>
        </w:rPr>
      </w:pPr>
    </w:p>
    <w:p w14:paraId="221AA811">
      <w:pPr>
        <w:snapToGrid w:val="0"/>
        <w:spacing w:line="300" w:lineRule="auto"/>
        <w:outlineLvl w:val="0"/>
        <w:rPr>
          <w:rFonts w:hint="eastAsia" w:ascii="仿宋" w:hAnsi="仿宋" w:eastAsia="仿宋" w:cs="仿宋"/>
          <w:sz w:val="28"/>
          <w:szCs w:val="28"/>
        </w:rPr>
      </w:pPr>
    </w:p>
    <w:p w14:paraId="7D764D71">
      <w:pPr>
        <w:snapToGrid w:val="0"/>
        <w:spacing w:line="300" w:lineRule="auto"/>
        <w:outlineLvl w:val="0"/>
        <w:rPr>
          <w:rFonts w:hint="default" w:ascii="宋体" w:hAnsi="宋体" w:eastAsia="宋体" w:cs="宋体"/>
          <w:sz w:val="32"/>
          <w:szCs w:val="32"/>
          <w:lang w:val="en-US" w:eastAsia="zh-CN"/>
        </w:rPr>
      </w:pPr>
      <w:r>
        <w:rPr>
          <w:rFonts w:hint="eastAsia" w:ascii="仿宋" w:hAnsi="仿宋" w:eastAsia="仿宋" w:cs="仿宋"/>
          <w:sz w:val="32"/>
          <w:szCs w:val="32"/>
        </w:rPr>
        <w:br w:type="page"/>
      </w:r>
      <w:r>
        <w:rPr>
          <w:rFonts w:hint="eastAsia" w:ascii="宋体" w:hAnsi="宋体" w:eastAsia="宋体" w:cs="宋体"/>
          <w:sz w:val="32"/>
          <w:szCs w:val="32"/>
        </w:rPr>
        <w:t>附件</w:t>
      </w:r>
      <w:r>
        <w:rPr>
          <w:rFonts w:hint="eastAsia" w:ascii="宋体" w:hAnsi="宋体" w:eastAsia="宋体" w:cs="宋体"/>
          <w:sz w:val="32"/>
          <w:szCs w:val="32"/>
          <w:lang w:val="en-US" w:eastAsia="zh-CN"/>
        </w:rPr>
        <w:t>7</w:t>
      </w:r>
    </w:p>
    <w:p w14:paraId="5D46A932">
      <w:pPr>
        <w:spacing w:line="460" w:lineRule="exact"/>
        <w:jc w:val="center"/>
        <w:rPr>
          <w:rFonts w:hint="eastAsia" w:ascii="宋体" w:hAnsi="宋体" w:eastAsia="宋体" w:cs="宋体"/>
          <w:b/>
          <w:sz w:val="32"/>
          <w:szCs w:val="32"/>
        </w:rPr>
      </w:pPr>
      <w:r>
        <w:rPr>
          <w:rFonts w:hint="eastAsia" w:ascii="宋体" w:hAnsi="宋体" w:eastAsia="宋体" w:cs="宋体"/>
          <w:b/>
          <w:sz w:val="32"/>
          <w:szCs w:val="32"/>
        </w:rPr>
        <w:t>残疾人福利性单位声明函</w:t>
      </w:r>
    </w:p>
    <w:p w14:paraId="394370EB">
      <w:pPr>
        <w:spacing w:line="588"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eastAsia="宋体" w:cs="宋体"/>
          <w:sz w:val="28"/>
          <w:szCs w:val="28"/>
          <w:u w:val="single"/>
        </w:rPr>
        <w:t xml:space="preserve">       </w:t>
      </w:r>
      <w:r>
        <w:rPr>
          <w:rFonts w:hint="eastAsia" w:ascii="宋体" w:hAnsi="宋体" w:eastAsia="宋体" w:cs="宋体"/>
          <w:sz w:val="28"/>
          <w:szCs w:val="28"/>
        </w:rPr>
        <w:t>项目采购活动提供本单位</w:t>
      </w:r>
      <w:r>
        <w:rPr>
          <w:rFonts w:hint="eastAsia" w:ascii="宋体" w:hAnsi="宋体" w:eastAsia="宋体" w:cs="宋体"/>
          <w:sz w:val="28"/>
          <w:szCs w:val="28"/>
          <w:lang w:eastAsia="zh-CN"/>
        </w:rPr>
        <w:t>提供</w:t>
      </w:r>
      <w:r>
        <w:rPr>
          <w:rFonts w:hint="eastAsia" w:ascii="宋体" w:hAnsi="宋体" w:eastAsia="宋体" w:cs="宋体"/>
          <w:sz w:val="28"/>
          <w:szCs w:val="28"/>
        </w:rPr>
        <w:t>的服务，或者提供其他残疾人福利性单位</w:t>
      </w:r>
      <w:r>
        <w:rPr>
          <w:rFonts w:hint="eastAsia" w:ascii="宋体" w:hAnsi="宋体" w:eastAsia="宋体" w:cs="宋体"/>
          <w:sz w:val="28"/>
          <w:szCs w:val="28"/>
          <w:lang w:eastAsia="zh-CN"/>
        </w:rPr>
        <w:t>提供</w:t>
      </w:r>
      <w:r>
        <w:rPr>
          <w:rFonts w:hint="eastAsia" w:ascii="宋体" w:hAnsi="宋体" w:eastAsia="宋体" w:cs="宋体"/>
          <w:sz w:val="28"/>
          <w:szCs w:val="28"/>
        </w:rPr>
        <w:t>的</w:t>
      </w:r>
      <w:r>
        <w:rPr>
          <w:rFonts w:hint="eastAsia" w:ascii="宋体" w:hAnsi="宋体" w:eastAsia="宋体" w:cs="宋体"/>
          <w:sz w:val="28"/>
          <w:szCs w:val="28"/>
          <w:lang w:eastAsia="zh-CN"/>
        </w:rPr>
        <w:t>服务</w:t>
      </w:r>
      <w:r>
        <w:rPr>
          <w:rFonts w:hint="eastAsia" w:ascii="宋体" w:hAnsi="宋体" w:eastAsia="宋体" w:cs="宋体"/>
          <w:sz w:val="28"/>
          <w:szCs w:val="28"/>
        </w:rPr>
        <w:t>。</w:t>
      </w:r>
    </w:p>
    <w:p w14:paraId="7C2B8A60">
      <w:pPr>
        <w:spacing w:line="588"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14:paraId="200D3038">
      <w:pPr>
        <w:spacing w:line="588"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（备注：1、供应商如不提供此声明函，价格将不做相应扣除。2、成交供应商为残疾人福利单位的，此声明函将随成交结果同时</w:t>
      </w:r>
      <w:r>
        <w:rPr>
          <w:rFonts w:hint="eastAsia" w:ascii="宋体" w:hAnsi="宋体" w:cs="宋体"/>
          <w:sz w:val="28"/>
          <w:szCs w:val="28"/>
          <w:lang w:eastAsia="zh-CN"/>
        </w:rPr>
        <w:t>通告</w:t>
      </w:r>
      <w:r>
        <w:rPr>
          <w:rFonts w:hint="eastAsia" w:ascii="宋体" w:hAnsi="宋体" w:eastAsia="宋体" w:cs="宋体"/>
          <w:sz w:val="28"/>
          <w:szCs w:val="28"/>
        </w:rPr>
        <w:t>，接受社会监督）</w:t>
      </w:r>
    </w:p>
    <w:p w14:paraId="54E66AF9">
      <w:pPr>
        <w:spacing w:line="588" w:lineRule="exact"/>
        <w:ind w:firstLine="584" w:firstLineChars="200"/>
        <w:rPr>
          <w:rFonts w:hint="eastAsia" w:ascii="宋体" w:hAnsi="宋体" w:eastAsia="宋体" w:cs="宋体"/>
          <w:spacing w:val="6"/>
          <w:sz w:val="28"/>
          <w:szCs w:val="28"/>
        </w:rPr>
      </w:pPr>
    </w:p>
    <w:p w14:paraId="7950DB86">
      <w:pPr>
        <w:spacing w:line="588" w:lineRule="exact"/>
        <w:ind w:firstLine="584" w:firstLineChars="200"/>
        <w:rPr>
          <w:rFonts w:hint="eastAsia" w:ascii="宋体" w:hAnsi="宋体" w:eastAsia="宋体" w:cs="宋体"/>
          <w:spacing w:val="6"/>
          <w:sz w:val="28"/>
          <w:szCs w:val="28"/>
        </w:rPr>
      </w:pPr>
    </w:p>
    <w:p w14:paraId="1384F021">
      <w:pPr>
        <w:spacing w:line="588" w:lineRule="exact"/>
        <w:ind w:firstLine="584" w:firstLineChars="200"/>
        <w:rPr>
          <w:rFonts w:hint="eastAsia" w:ascii="宋体" w:hAnsi="宋体" w:eastAsia="宋体" w:cs="宋体"/>
          <w:spacing w:val="6"/>
          <w:sz w:val="28"/>
          <w:szCs w:val="28"/>
        </w:rPr>
      </w:pPr>
    </w:p>
    <w:p w14:paraId="6CBF41D2">
      <w:pPr>
        <w:spacing w:line="588" w:lineRule="exact"/>
        <w:ind w:firstLine="584" w:firstLineChars="200"/>
        <w:rPr>
          <w:rFonts w:hint="eastAsia" w:ascii="宋体" w:hAnsi="宋体" w:eastAsia="宋体" w:cs="宋体"/>
          <w:spacing w:val="6"/>
          <w:sz w:val="28"/>
          <w:szCs w:val="28"/>
        </w:rPr>
      </w:pPr>
    </w:p>
    <w:p w14:paraId="05BFF4A7">
      <w:pPr>
        <w:tabs>
          <w:tab w:val="left" w:pos="4860"/>
        </w:tabs>
        <w:spacing w:line="588" w:lineRule="exact"/>
        <w:ind w:right="1560" w:firstLine="584" w:firstLineChars="200"/>
        <w:jc w:val="center"/>
        <w:rPr>
          <w:rFonts w:hint="eastAsia" w:ascii="宋体" w:hAnsi="宋体" w:eastAsia="宋体" w:cs="宋体"/>
          <w:sz w:val="28"/>
          <w:szCs w:val="28"/>
        </w:rPr>
      </w:pPr>
      <w:r>
        <w:rPr>
          <w:rFonts w:hint="eastAsia" w:ascii="宋体" w:hAnsi="宋体" w:eastAsia="宋体" w:cs="宋体"/>
          <w:spacing w:val="6"/>
          <w:sz w:val="28"/>
          <w:szCs w:val="28"/>
        </w:rPr>
        <w:t xml:space="preserve">             </w:t>
      </w:r>
      <w:r>
        <w:rPr>
          <w:rFonts w:hint="eastAsia" w:ascii="宋体" w:hAnsi="宋体" w:eastAsia="宋体" w:cs="宋体"/>
          <w:sz w:val="28"/>
          <w:szCs w:val="28"/>
        </w:rPr>
        <w:t xml:space="preserve">           供应商全称（盖章）：</w:t>
      </w:r>
    </w:p>
    <w:p w14:paraId="522F0A0D">
      <w:pPr>
        <w:tabs>
          <w:tab w:val="left" w:pos="4860"/>
        </w:tabs>
        <w:spacing w:line="588" w:lineRule="exact"/>
        <w:ind w:right="1560" w:firstLine="560" w:firstLineChars="200"/>
        <w:jc w:val="center"/>
        <w:rPr>
          <w:rFonts w:hint="eastAsia" w:ascii="宋体" w:hAnsi="宋体" w:eastAsia="宋体" w:cs="宋体"/>
          <w:sz w:val="28"/>
          <w:szCs w:val="28"/>
        </w:rPr>
      </w:pPr>
      <w:r>
        <w:rPr>
          <w:rFonts w:hint="eastAsia" w:ascii="宋体" w:hAnsi="宋体" w:eastAsia="宋体" w:cs="宋体"/>
          <w:sz w:val="28"/>
          <w:szCs w:val="28"/>
        </w:rPr>
        <w:t xml:space="preserve">              日  期：</w:t>
      </w:r>
    </w:p>
    <w:p w14:paraId="3284215C">
      <w:pPr>
        <w:ind w:firstLine="420"/>
        <w:rPr>
          <w:rFonts w:hint="eastAsia" w:ascii="仿宋" w:hAnsi="仿宋" w:eastAsia="仿宋" w:cs="仿宋"/>
          <w:sz w:val="28"/>
          <w:szCs w:val="28"/>
        </w:rPr>
      </w:pPr>
    </w:p>
    <w:p w14:paraId="38195090">
      <w:pPr>
        <w:snapToGrid w:val="0"/>
        <w:spacing w:line="300" w:lineRule="auto"/>
        <w:outlineLvl w:val="0"/>
        <w:rPr>
          <w:rFonts w:hint="eastAsia" w:ascii="仿宋" w:hAnsi="仿宋" w:eastAsia="仿宋" w:cs="仿宋"/>
          <w:sz w:val="28"/>
          <w:szCs w:val="28"/>
        </w:rPr>
      </w:pPr>
    </w:p>
    <w:p w14:paraId="201759C1">
      <w:pPr>
        <w:snapToGrid w:val="0"/>
        <w:spacing w:line="300" w:lineRule="auto"/>
        <w:outlineLvl w:val="0"/>
        <w:rPr>
          <w:rFonts w:hint="eastAsia" w:ascii="仿宋" w:hAnsi="仿宋" w:eastAsia="仿宋" w:cs="仿宋"/>
          <w:sz w:val="28"/>
          <w:szCs w:val="28"/>
        </w:rPr>
      </w:pPr>
    </w:p>
    <w:p w14:paraId="3A8A550C">
      <w:pPr>
        <w:snapToGrid w:val="0"/>
        <w:spacing w:line="300" w:lineRule="auto"/>
        <w:outlineLvl w:val="0"/>
        <w:rPr>
          <w:rFonts w:hint="eastAsia" w:ascii="仿宋" w:hAnsi="仿宋" w:eastAsia="仿宋" w:cs="仿宋"/>
          <w:sz w:val="28"/>
          <w:szCs w:val="28"/>
        </w:rPr>
      </w:pPr>
    </w:p>
    <w:p w14:paraId="6CC27FC4">
      <w:pPr>
        <w:snapToGrid w:val="0"/>
        <w:spacing w:line="300" w:lineRule="auto"/>
        <w:outlineLvl w:val="0"/>
        <w:rPr>
          <w:rFonts w:hint="eastAsia" w:ascii="仿宋" w:hAnsi="仿宋" w:eastAsia="仿宋" w:cs="仿宋"/>
          <w:sz w:val="28"/>
          <w:szCs w:val="28"/>
        </w:rPr>
      </w:pPr>
    </w:p>
    <w:p w14:paraId="1E93AE9E">
      <w:pPr>
        <w:snapToGrid w:val="0"/>
        <w:spacing w:line="300" w:lineRule="auto"/>
        <w:outlineLvl w:val="0"/>
        <w:rPr>
          <w:rFonts w:hint="eastAsia" w:ascii="仿宋" w:hAnsi="仿宋" w:eastAsia="仿宋" w:cs="仿宋"/>
          <w:sz w:val="28"/>
          <w:szCs w:val="28"/>
        </w:rPr>
      </w:pPr>
    </w:p>
    <w:p w14:paraId="551F4C39">
      <w:pPr>
        <w:snapToGrid w:val="0"/>
        <w:spacing w:line="300" w:lineRule="auto"/>
        <w:outlineLvl w:val="0"/>
        <w:rPr>
          <w:rFonts w:hint="eastAsia" w:ascii="仿宋" w:hAnsi="仿宋" w:eastAsia="仿宋" w:cs="仿宋"/>
          <w:sz w:val="28"/>
          <w:szCs w:val="28"/>
        </w:rPr>
      </w:pPr>
    </w:p>
    <w:p w14:paraId="1B359D6B">
      <w:pPr>
        <w:snapToGrid w:val="0"/>
        <w:spacing w:line="300" w:lineRule="auto"/>
        <w:outlineLvl w:val="0"/>
        <w:rPr>
          <w:rFonts w:hint="eastAsia" w:ascii="仿宋" w:hAnsi="仿宋" w:eastAsia="仿宋" w:cs="仿宋"/>
          <w:sz w:val="32"/>
          <w:szCs w:val="32"/>
        </w:rPr>
      </w:pPr>
    </w:p>
    <w:p w14:paraId="76092E19">
      <w:pPr>
        <w:snapToGrid w:val="0"/>
        <w:spacing w:line="300" w:lineRule="auto"/>
        <w:outlineLvl w:val="0"/>
        <w:rPr>
          <w:rFonts w:hint="eastAsia" w:ascii="仿宋" w:hAnsi="仿宋" w:eastAsia="仿宋" w:cs="仿宋"/>
          <w:sz w:val="32"/>
          <w:szCs w:val="32"/>
        </w:rPr>
      </w:pPr>
    </w:p>
    <w:p w14:paraId="69BA6148">
      <w:pPr>
        <w:snapToGrid w:val="0"/>
        <w:spacing w:line="300" w:lineRule="auto"/>
        <w:outlineLvl w:val="0"/>
        <w:rPr>
          <w:rFonts w:hint="default" w:ascii="宋体" w:hAnsi="宋体" w:eastAsia="宋体" w:cs="宋体"/>
          <w:sz w:val="32"/>
          <w:szCs w:val="32"/>
          <w:lang w:val="en-US" w:eastAsia="zh-CN"/>
        </w:rPr>
      </w:pPr>
      <w:r>
        <w:rPr>
          <w:rFonts w:hint="eastAsia" w:ascii="宋体" w:hAnsi="宋体" w:eastAsia="宋体" w:cs="宋体"/>
          <w:sz w:val="32"/>
          <w:szCs w:val="32"/>
        </w:rPr>
        <w:t>附件</w:t>
      </w:r>
      <w:r>
        <w:rPr>
          <w:rFonts w:hint="eastAsia" w:ascii="宋体" w:hAnsi="宋体" w:eastAsia="宋体" w:cs="宋体"/>
          <w:sz w:val="32"/>
          <w:szCs w:val="32"/>
          <w:lang w:val="en-US" w:eastAsia="zh-CN"/>
        </w:rPr>
        <w:t>8</w:t>
      </w:r>
    </w:p>
    <w:p w14:paraId="7F710EF5">
      <w:pPr>
        <w:snapToGrid w:val="0"/>
        <w:spacing w:line="420" w:lineRule="exact"/>
        <w:jc w:val="center"/>
        <w:outlineLvl w:val="3"/>
        <w:rPr>
          <w:rFonts w:hint="eastAsia" w:ascii="宋体" w:hAnsi="宋体" w:eastAsia="宋体" w:cs="宋体"/>
          <w:b/>
          <w:bCs/>
          <w:sz w:val="32"/>
          <w:szCs w:val="32"/>
        </w:rPr>
      </w:pPr>
      <w:r>
        <w:rPr>
          <w:rFonts w:hint="eastAsia" w:ascii="宋体" w:hAnsi="宋体" w:eastAsia="宋体" w:cs="宋体"/>
          <w:b/>
          <w:bCs/>
          <w:sz w:val="32"/>
          <w:szCs w:val="32"/>
        </w:rPr>
        <w:t>监狱和戒毒企业证明材料</w:t>
      </w:r>
    </w:p>
    <w:p w14:paraId="476EE0E9">
      <w:pPr>
        <w:snapToGrid w:val="0"/>
        <w:spacing w:line="420" w:lineRule="exact"/>
        <w:ind w:firstLine="495" w:firstLineChars="177"/>
        <w:rPr>
          <w:rFonts w:hint="eastAsia" w:ascii="宋体" w:hAnsi="宋体" w:eastAsia="宋体" w:cs="宋体"/>
          <w:sz w:val="28"/>
          <w:szCs w:val="28"/>
        </w:rPr>
      </w:pPr>
    </w:p>
    <w:p w14:paraId="6B4C6375">
      <w:pPr>
        <w:snapToGrid w:val="0"/>
        <w:spacing w:line="420" w:lineRule="exact"/>
        <w:ind w:firstLine="498" w:firstLineChars="177"/>
        <w:jc w:val="center"/>
        <w:rPr>
          <w:rFonts w:hint="eastAsia" w:ascii="宋体" w:hAnsi="宋体" w:eastAsia="宋体" w:cs="宋体"/>
          <w:b/>
          <w:sz w:val="28"/>
          <w:szCs w:val="28"/>
        </w:rPr>
      </w:pPr>
      <w:r>
        <w:rPr>
          <w:rFonts w:hint="eastAsia" w:ascii="宋体" w:hAnsi="宋体" w:eastAsia="宋体" w:cs="宋体"/>
          <w:b/>
          <w:sz w:val="28"/>
          <w:szCs w:val="28"/>
        </w:rPr>
        <w:t>（格式自拟）</w:t>
      </w:r>
    </w:p>
    <w:p w14:paraId="25C1F0E1">
      <w:pPr>
        <w:snapToGrid w:val="0"/>
        <w:spacing w:line="420" w:lineRule="exact"/>
        <w:ind w:firstLine="495" w:firstLineChars="177"/>
        <w:rPr>
          <w:rFonts w:hint="eastAsia" w:ascii="宋体" w:hAnsi="宋体" w:eastAsia="宋体" w:cs="宋体"/>
          <w:sz w:val="28"/>
          <w:szCs w:val="28"/>
        </w:rPr>
      </w:pPr>
    </w:p>
    <w:p w14:paraId="25BEEFB2">
      <w:pPr>
        <w:snapToGrid w:val="0"/>
        <w:spacing w:line="420" w:lineRule="exact"/>
        <w:ind w:firstLine="660" w:firstLineChars="236"/>
        <w:rPr>
          <w:rFonts w:hint="eastAsia" w:ascii="宋体" w:hAnsi="宋体" w:eastAsia="宋体" w:cs="宋体"/>
          <w:sz w:val="28"/>
          <w:szCs w:val="28"/>
        </w:rPr>
      </w:pPr>
      <w:r>
        <w:rPr>
          <w:rFonts w:hint="eastAsia" w:ascii="宋体" w:hAnsi="宋体" w:eastAsia="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350F2C02">
      <w:pPr>
        <w:snapToGrid w:val="0"/>
        <w:spacing w:line="300" w:lineRule="auto"/>
        <w:contextualSpacing/>
        <w:jc w:val="center"/>
        <w:rPr>
          <w:rFonts w:hint="eastAsia" w:ascii="仿宋" w:hAnsi="仿宋" w:eastAsia="仿宋" w:cs="仿宋"/>
          <w:b/>
          <w:sz w:val="32"/>
          <w:szCs w:val="32"/>
        </w:rPr>
      </w:pPr>
    </w:p>
    <w:p w14:paraId="31D098F3">
      <w:pPr>
        <w:rPr>
          <w:rFonts w:hint="eastAsia" w:ascii="宋体" w:hAnsi="宋体" w:eastAsia="宋体" w:cs="宋体"/>
          <w:sz w:val="32"/>
          <w:szCs w:val="32"/>
        </w:rPr>
      </w:pPr>
      <w:r>
        <w:rPr>
          <w:rFonts w:hint="eastAsia" w:ascii="宋体" w:hAnsi="宋体" w:eastAsia="宋体" w:cs="宋体"/>
          <w:sz w:val="32"/>
          <w:szCs w:val="32"/>
        </w:rPr>
        <w:br w:type="page"/>
      </w:r>
    </w:p>
    <w:p w14:paraId="312A4D90">
      <w:pPr>
        <w:snapToGrid w:val="0"/>
        <w:spacing w:line="300" w:lineRule="auto"/>
        <w:outlineLvl w:val="0"/>
        <w:rPr>
          <w:rFonts w:hint="eastAsia" w:ascii="宋体" w:hAnsi="宋体" w:eastAsia="宋体" w:cs="宋体"/>
          <w:color w:val="auto"/>
          <w:sz w:val="32"/>
          <w:szCs w:val="32"/>
          <w:lang w:eastAsia="zh-CN"/>
        </w:rPr>
      </w:pPr>
      <w:r>
        <w:rPr>
          <w:rFonts w:hint="eastAsia" w:ascii="宋体" w:hAnsi="宋体" w:eastAsia="宋体" w:cs="宋体"/>
          <w:sz w:val="32"/>
          <w:szCs w:val="32"/>
        </w:rPr>
        <w:t>附件</w:t>
      </w:r>
      <w:r>
        <w:rPr>
          <w:rFonts w:hint="eastAsia" w:ascii="宋体" w:hAnsi="宋体" w:eastAsia="宋体" w:cs="宋体"/>
          <w:sz w:val="32"/>
          <w:szCs w:val="32"/>
          <w:lang w:val="en-US" w:eastAsia="zh-CN"/>
        </w:rPr>
        <w:t>9</w:t>
      </w:r>
    </w:p>
    <w:p w14:paraId="5A3A33A7">
      <w:pPr>
        <w:spacing w:before="240" w:line="360" w:lineRule="auto"/>
        <w:jc w:val="center"/>
        <w:rPr>
          <w:rFonts w:hint="eastAsia" w:ascii="宋体" w:hAnsi="宋体" w:cs="宋体"/>
          <w:b/>
          <w:color w:val="auto"/>
          <w:sz w:val="32"/>
          <w:szCs w:val="32"/>
          <w:lang w:bidi="ar"/>
        </w:rPr>
      </w:pPr>
      <w:r>
        <w:rPr>
          <w:rFonts w:hint="eastAsia" w:ascii="宋体" w:hAnsi="宋体" w:cs="宋体"/>
          <w:b/>
          <w:color w:val="auto"/>
          <w:sz w:val="32"/>
          <w:szCs w:val="32"/>
          <w:lang w:bidi="ar"/>
        </w:rPr>
        <w:t>供应商信用承诺书</w:t>
      </w:r>
    </w:p>
    <w:p w14:paraId="63ACFBEF">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为营造公开、公平、公正的公共资源交易环境，树立诚信守法的供应商形象，本人代表本单位作出以下承诺：</w:t>
      </w:r>
    </w:p>
    <w:p w14:paraId="429CA0B9">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一、本单位对所提交的单位基本信息、单位负责人、项目负责人、技术负责人、从业资质和资格、业绩、财务状况、信誉等所有资料，均合法、真实、准确、有效，无任何伪造、修改、虚假成分；</w:t>
      </w:r>
    </w:p>
    <w:p w14:paraId="009BDE3C">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二、严格依照国家和省、市、县关于采购等方面的法律、法规、规章、规范性文件，参加</w:t>
      </w:r>
      <w:r>
        <w:rPr>
          <w:rFonts w:hint="eastAsia" w:ascii="宋体" w:hAnsi="宋体" w:cs="宋体"/>
          <w:color w:val="auto"/>
          <w:kern w:val="0"/>
          <w:sz w:val="24"/>
          <w:lang w:bidi="ar"/>
        </w:rPr>
        <w:t>采购人组织的</w:t>
      </w:r>
      <w:r>
        <w:rPr>
          <w:rFonts w:hint="eastAsia" w:ascii="宋体" w:hAnsi="宋体" w:cs="宋体"/>
          <w:color w:val="auto"/>
          <w:kern w:val="0"/>
          <w:sz w:val="24"/>
          <w:lang w:val="zh-CN" w:bidi="ar"/>
        </w:rPr>
        <w:t>招标投标活动；积极履行社会责任，促进廉政建设；</w:t>
      </w:r>
    </w:p>
    <w:p w14:paraId="76633D22">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三、严格遵守即时信息公示规定，及时更新公共资源交易中心主体信息库中信息；</w:t>
      </w:r>
    </w:p>
    <w:p w14:paraId="3877B1AD">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四、自我约束、自我管理，守合同、重信用，不参与围标串标、弄虚作假、骗取中标、干扰评标、违约毁约、恶意投诉等行为，主动维护公共资源交易招标投标的良好秩序；</w:t>
      </w:r>
    </w:p>
    <w:p w14:paraId="57E73EDD">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五、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14:paraId="0B8675B8">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六、自觉接受政府部门、行业组织、社会公众、新闻舆论等监督；</w:t>
      </w:r>
    </w:p>
    <w:p w14:paraId="5BC0DFEA">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七、上述承诺已向本单位员工作了宣传教育；</w:t>
      </w:r>
    </w:p>
    <w:p w14:paraId="0999EBA2">
      <w:pPr>
        <w:tabs>
          <w:tab w:val="left" w:pos="4860"/>
        </w:tabs>
        <w:spacing w:line="360" w:lineRule="auto"/>
        <w:ind w:right="1560"/>
        <w:jc w:val="left"/>
        <w:rPr>
          <w:rFonts w:hint="eastAsia" w:ascii="宋体" w:hAnsi="宋体" w:cs="宋体"/>
          <w:b/>
          <w:color w:val="auto"/>
          <w:kern w:val="0"/>
          <w:sz w:val="24"/>
          <w:lang w:val="zh-CN" w:bidi="ar"/>
        </w:rPr>
      </w:pPr>
      <w:r>
        <w:rPr>
          <w:rFonts w:hint="eastAsia" w:ascii="宋体" w:hAnsi="宋体" w:cs="宋体"/>
          <w:b/>
          <w:color w:val="auto"/>
          <w:kern w:val="0"/>
          <w:sz w:val="24"/>
          <w:lang w:val="zh-CN" w:bidi="ar"/>
        </w:rPr>
        <w:t>如有违反上述承诺的不良行为，本单位同意将其予以上网公示。</w:t>
      </w:r>
    </w:p>
    <w:p w14:paraId="23FCBDF1">
      <w:pPr>
        <w:spacing w:line="360" w:lineRule="auto"/>
        <w:ind w:firstLine="3080" w:firstLineChars="1100"/>
        <w:rPr>
          <w:rFonts w:hint="eastAsia" w:ascii="宋体" w:hAnsi="宋体" w:cs="宋体"/>
          <w:color w:val="auto"/>
          <w:sz w:val="28"/>
          <w:szCs w:val="28"/>
        </w:rPr>
      </w:pPr>
      <w:r>
        <w:rPr>
          <w:rFonts w:hint="eastAsia" w:ascii="宋体" w:hAnsi="宋体" w:cs="宋体"/>
          <w:color w:val="auto"/>
          <w:sz w:val="28"/>
          <w:szCs w:val="28"/>
        </w:rPr>
        <w:t xml:space="preserve">  </w:t>
      </w:r>
    </w:p>
    <w:p w14:paraId="7A632CC3">
      <w:pPr>
        <w:spacing w:line="360" w:lineRule="auto"/>
        <w:ind w:firstLine="3080" w:firstLineChars="1100"/>
        <w:rPr>
          <w:rFonts w:hint="eastAsia" w:ascii="宋体" w:hAnsi="宋体" w:cs="宋体"/>
          <w:color w:val="auto"/>
          <w:kern w:val="0"/>
          <w:sz w:val="28"/>
          <w:szCs w:val="28"/>
          <w:u w:val="single"/>
          <w:lang w:val="zh-CN"/>
        </w:rPr>
      </w:pPr>
      <w:r>
        <w:rPr>
          <w:rFonts w:hint="eastAsia" w:ascii="宋体" w:hAnsi="宋体" w:cs="宋体"/>
          <w:color w:val="auto"/>
          <w:kern w:val="0"/>
          <w:sz w:val="28"/>
          <w:szCs w:val="28"/>
          <w:lang w:val="zh-CN" w:bidi="ar"/>
        </w:rPr>
        <w:t>投标供应商全称(盖公章)：</w:t>
      </w:r>
    </w:p>
    <w:p w14:paraId="35BAF15B">
      <w:pPr>
        <w:spacing w:line="360" w:lineRule="auto"/>
        <w:ind w:firstLine="3080" w:firstLineChars="1100"/>
        <w:rPr>
          <w:rFonts w:hint="eastAsia" w:ascii="宋体" w:hAnsi="宋体" w:cs="宋体"/>
          <w:color w:val="auto"/>
          <w:sz w:val="28"/>
          <w:szCs w:val="28"/>
          <w:u w:val="single"/>
          <w:lang w:val="zh-CN"/>
        </w:rPr>
      </w:pPr>
      <w:r>
        <w:rPr>
          <w:rFonts w:hint="eastAsia" w:ascii="宋体" w:hAnsi="宋体" w:cs="宋体"/>
          <w:color w:val="auto"/>
          <w:kern w:val="0"/>
          <w:sz w:val="28"/>
          <w:szCs w:val="28"/>
          <w:lang w:val="zh-CN" w:bidi="ar"/>
        </w:rPr>
        <w:t>法定代表人（签字或盖章）：</w:t>
      </w:r>
    </w:p>
    <w:p w14:paraId="675BF253">
      <w:pPr>
        <w:spacing w:line="360" w:lineRule="auto"/>
        <w:ind w:firstLine="3080" w:firstLineChars="1100"/>
        <w:rPr>
          <w:rFonts w:hint="eastAsia" w:ascii="宋体" w:hAnsi="宋体" w:cs="宋体"/>
          <w:color w:val="auto"/>
          <w:kern w:val="0"/>
          <w:sz w:val="28"/>
          <w:szCs w:val="28"/>
          <w:lang w:val="zh-CN"/>
        </w:rPr>
      </w:pPr>
      <w:r>
        <w:rPr>
          <w:rFonts w:hint="eastAsia" w:ascii="宋体" w:hAnsi="宋体" w:cs="宋体"/>
          <w:color w:val="auto"/>
          <w:kern w:val="0"/>
          <w:sz w:val="28"/>
          <w:szCs w:val="28"/>
          <w:lang w:val="zh-CN" w:bidi="ar"/>
        </w:rPr>
        <w:t>时间：  年  月   日</w:t>
      </w:r>
    </w:p>
    <w:p w14:paraId="5F77410A">
      <w:pPr>
        <w:spacing w:line="360" w:lineRule="auto"/>
        <w:rPr>
          <w:rFonts w:hint="eastAsia" w:ascii="宋体" w:hAnsi="宋体" w:cs="宋体"/>
          <w:color w:val="auto"/>
        </w:rPr>
      </w:pPr>
    </w:p>
    <w:p w14:paraId="5CCCAD0E">
      <w:pPr>
        <w:spacing w:line="360" w:lineRule="auto"/>
        <w:rPr>
          <w:rFonts w:hint="eastAsia" w:ascii="宋体" w:hAnsi="宋体" w:cs="宋体"/>
          <w:color w:val="auto"/>
        </w:rPr>
      </w:pPr>
    </w:p>
    <w:p w14:paraId="4F00DC56">
      <w:pPr>
        <w:snapToGrid w:val="0"/>
        <w:spacing w:line="360" w:lineRule="auto"/>
        <w:rPr>
          <w:rFonts w:hint="default" w:ascii="宋体" w:hAnsi="宋体" w:eastAsia="宋体" w:cs="宋体"/>
          <w:color w:val="auto"/>
          <w:sz w:val="32"/>
          <w:szCs w:val="32"/>
          <w:lang w:val="en-US" w:eastAsia="zh-CN"/>
        </w:rPr>
      </w:pPr>
      <w:r>
        <w:rPr>
          <w:rFonts w:hint="eastAsia" w:ascii="宋体" w:hAnsi="宋体" w:cs="宋体"/>
          <w:color w:val="auto"/>
          <w:sz w:val="32"/>
          <w:szCs w:val="32"/>
        </w:rPr>
        <w:br w:type="page"/>
      </w:r>
      <w:r>
        <w:rPr>
          <w:rFonts w:hint="eastAsia" w:ascii="宋体" w:hAnsi="宋体" w:cs="宋体"/>
          <w:color w:val="auto"/>
          <w:sz w:val="32"/>
          <w:szCs w:val="32"/>
        </w:rPr>
        <w:t>附件</w:t>
      </w:r>
      <w:r>
        <w:rPr>
          <w:rFonts w:hint="eastAsia" w:ascii="宋体" w:hAnsi="宋体" w:cs="宋体"/>
          <w:color w:val="auto"/>
          <w:sz w:val="32"/>
          <w:szCs w:val="32"/>
          <w:lang w:val="en-US" w:eastAsia="zh-CN"/>
        </w:rPr>
        <w:t>10</w:t>
      </w:r>
    </w:p>
    <w:p w14:paraId="2F0B8EB7">
      <w:pPr>
        <w:spacing w:line="360" w:lineRule="auto"/>
        <w:jc w:val="center"/>
        <w:rPr>
          <w:rFonts w:hint="eastAsia" w:ascii="宋体" w:hAnsi="宋体" w:cs="宋体"/>
          <w:bCs/>
          <w:color w:val="auto"/>
          <w:sz w:val="40"/>
          <w:szCs w:val="40"/>
        </w:rPr>
      </w:pPr>
      <w:r>
        <w:rPr>
          <w:rFonts w:hint="eastAsia" w:ascii="宋体" w:hAnsi="宋体" w:cs="宋体"/>
          <w:bCs/>
          <w:color w:val="auto"/>
          <w:sz w:val="40"/>
          <w:szCs w:val="40"/>
        </w:rPr>
        <w:t>质疑函范本</w:t>
      </w:r>
    </w:p>
    <w:p w14:paraId="08EE87AB">
      <w:pPr>
        <w:adjustRightInd w:val="0"/>
        <w:snapToGrid w:val="0"/>
        <w:spacing w:before="240" w:beforeLines="100" w:line="360" w:lineRule="auto"/>
        <w:rPr>
          <w:rFonts w:hint="eastAsia" w:ascii="宋体" w:hAnsi="宋体" w:cs="宋体"/>
          <w:bCs/>
          <w:color w:val="auto"/>
          <w:sz w:val="28"/>
          <w:szCs w:val="28"/>
        </w:rPr>
      </w:pPr>
      <w:r>
        <w:rPr>
          <w:rFonts w:hint="eastAsia" w:ascii="宋体" w:hAnsi="宋体" w:cs="宋体"/>
          <w:bCs/>
          <w:color w:val="auto"/>
          <w:sz w:val="28"/>
          <w:szCs w:val="28"/>
        </w:rPr>
        <w:t>一、质疑供应商基本信息</w:t>
      </w:r>
    </w:p>
    <w:p w14:paraId="1EBB7177">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质疑供应商：</w:t>
      </w:r>
    </w:p>
    <w:p w14:paraId="04CC5153">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地址：邮编：</w:t>
      </w:r>
    </w:p>
    <w:p w14:paraId="3005D59A">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联系人：联系电话：</w:t>
      </w:r>
    </w:p>
    <w:p w14:paraId="555F90AB">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授权代表：</w:t>
      </w:r>
    </w:p>
    <w:p w14:paraId="08BDEF59">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联系电话：</w:t>
      </w:r>
    </w:p>
    <w:p w14:paraId="1EC15598">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地址：邮编：</w:t>
      </w:r>
    </w:p>
    <w:p w14:paraId="21D4FCBE">
      <w:pPr>
        <w:adjustRightInd w:val="0"/>
        <w:snapToGrid w:val="0"/>
        <w:spacing w:line="360" w:lineRule="auto"/>
        <w:rPr>
          <w:rFonts w:hint="eastAsia" w:ascii="宋体" w:hAnsi="宋体" w:cs="宋体"/>
          <w:bCs/>
          <w:color w:val="auto"/>
          <w:sz w:val="28"/>
          <w:szCs w:val="28"/>
        </w:rPr>
      </w:pPr>
      <w:r>
        <w:rPr>
          <w:rFonts w:hint="eastAsia" w:ascii="宋体" w:hAnsi="宋体" w:cs="宋体"/>
          <w:bCs/>
          <w:color w:val="auto"/>
          <w:sz w:val="28"/>
          <w:szCs w:val="28"/>
        </w:rPr>
        <w:t>二、质疑项目基本情况</w:t>
      </w:r>
    </w:p>
    <w:p w14:paraId="48532353">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质疑项目的名称：</w:t>
      </w:r>
    </w:p>
    <w:p w14:paraId="7A1521B6">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质疑项目的编号：包号：</w:t>
      </w:r>
    </w:p>
    <w:p w14:paraId="1D886A90">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采购人名称：</w:t>
      </w:r>
    </w:p>
    <w:p w14:paraId="61A88C21">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采购文件获取日期：</w:t>
      </w:r>
    </w:p>
    <w:p w14:paraId="0A10C239">
      <w:pPr>
        <w:adjustRightInd w:val="0"/>
        <w:snapToGrid w:val="0"/>
        <w:spacing w:line="360" w:lineRule="auto"/>
        <w:rPr>
          <w:rFonts w:hint="eastAsia" w:ascii="宋体" w:hAnsi="宋体" w:cs="宋体"/>
          <w:bCs/>
          <w:color w:val="auto"/>
          <w:sz w:val="28"/>
          <w:szCs w:val="28"/>
        </w:rPr>
      </w:pPr>
      <w:r>
        <w:rPr>
          <w:rFonts w:hint="eastAsia" w:ascii="宋体" w:hAnsi="宋体" w:cs="宋体"/>
          <w:bCs/>
          <w:color w:val="auto"/>
          <w:sz w:val="28"/>
          <w:szCs w:val="28"/>
        </w:rPr>
        <w:t>三、质疑事项具体内容</w:t>
      </w:r>
    </w:p>
    <w:p w14:paraId="27630B88">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质疑事项1：</w:t>
      </w:r>
    </w:p>
    <w:p w14:paraId="72DE7C93">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事实依据：</w:t>
      </w:r>
    </w:p>
    <w:p w14:paraId="4668E45E">
      <w:pPr>
        <w:adjustRightInd w:val="0"/>
        <w:snapToGrid w:val="0"/>
        <w:spacing w:line="360" w:lineRule="auto"/>
        <w:rPr>
          <w:rFonts w:hint="eastAsia" w:ascii="宋体" w:hAnsi="宋体" w:cs="宋体"/>
          <w:color w:val="auto"/>
          <w:sz w:val="28"/>
          <w:szCs w:val="28"/>
        </w:rPr>
      </w:pPr>
    </w:p>
    <w:p w14:paraId="1E445C11">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法律依据：</w:t>
      </w:r>
    </w:p>
    <w:p w14:paraId="04BAF8D7">
      <w:pPr>
        <w:adjustRightInd w:val="0"/>
        <w:snapToGrid w:val="0"/>
        <w:spacing w:line="360" w:lineRule="auto"/>
        <w:rPr>
          <w:rFonts w:hint="eastAsia" w:ascii="宋体" w:hAnsi="宋体" w:cs="宋体"/>
          <w:color w:val="auto"/>
          <w:sz w:val="28"/>
          <w:szCs w:val="28"/>
          <w:u w:val="dotted"/>
        </w:rPr>
      </w:pPr>
    </w:p>
    <w:p w14:paraId="2DE563FE">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质疑事项2</w:t>
      </w:r>
    </w:p>
    <w:p w14:paraId="729E25D4">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w:t>
      </w:r>
    </w:p>
    <w:p w14:paraId="0D8A072E">
      <w:pPr>
        <w:adjustRightInd w:val="0"/>
        <w:snapToGrid w:val="0"/>
        <w:spacing w:line="360" w:lineRule="auto"/>
        <w:rPr>
          <w:rFonts w:hint="eastAsia" w:ascii="宋体" w:hAnsi="宋体" w:cs="宋体"/>
          <w:bCs/>
          <w:color w:val="auto"/>
          <w:sz w:val="28"/>
          <w:szCs w:val="28"/>
        </w:rPr>
      </w:pPr>
      <w:r>
        <w:rPr>
          <w:rFonts w:hint="eastAsia" w:ascii="宋体" w:hAnsi="宋体" w:cs="宋体"/>
          <w:bCs/>
          <w:color w:val="auto"/>
          <w:sz w:val="28"/>
          <w:szCs w:val="28"/>
        </w:rPr>
        <w:t>四、与质疑事项相关的质疑请求</w:t>
      </w:r>
    </w:p>
    <w:p w14:paraId="6C7730C1">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请求：</w:t>
      </w:r>
    </w:p>
    <w:p w14:paraId="69968DB4">
      <w:pPr>
        <w:spacing w:line="360" w:lineRule="auto"/>
        <w:rPr>
          <w:rFonts w:hint="eastAsia" w:ascii="宋体" w:hAnsi="宋体" w:cs="宋体"/>
          <w:color w:val="auto"/>
          <w:sz w:val="28"/>
          <w:szCs w:val="28"/>
        </w:rPr>
      </w:pPr>
      <w:r>
        <w:rPr>
          <w:rFonts w:hint="eastAsia" w:ascii="宋体" w:hAnsi="宋体" w:cs="宋体"/>
          <w:color w:val="auto"/>
          <w:sz w:val="28"/>
          <w:szCs w:val="28"/>
        </w:rPr>
        <w:t xml:space="preserve">签字(签章)：                   公章：                      </w:t>
      </w:r>
    </w:p>
    <w:p w14:paraId="463F7E24">
      <w:pPr>
        <w:spacing w:line="360" w:lineRule="auto"/>
        <w:rPr>
          <w:rFonts w:hint="eastAsia" w:ascii="宋体" w:hAnsi="宋体" w:cs="宋体"/>
          <w:color w:val="auto"/>
          <w:sz w:val="28"/>
          <w:szCs w:val="28"/>
        </w:rPr>
      </w:pPr>
      <w:r>
        <w:rPr>
          <w:rFonts w:hint="eastAsia" w:ascii="宋体" w:hAnsi="宋体" w:cs="宋体"/>
          <w:color w:val="auto"/>
          <w:sz w:val="28"/>
          <w:szCs w:val="28"/>
        </w:rPr>
        <w:t xml:space="preserve">日期：    </w:t>
      </w:r>
    </w:p>
    <w:p w14:paraId="1C0350E3">
      <w:pPr>
        <w:adjustRightInd w:val="0"/>
        <w:snapToGrid w:val="0"/>
        <w:spacing w:line="360" w:lineRule="auto"/>
        <w:rPr>
          <w:rFonts w:hint="eastAsia" w:ascii="宋体" w:hAnsi="宋体" w:cs="宋体"/>
          <w:color w:val="auto"/>
          <w:sz w:val="28"/>
          <w:szCs w:val="28"/>
        </w:rPr>
      </w:pPr>
    </w:p>
    <w:p w14:paraId="20C198E5">
      <w:pPr>
        <w:spacing w:line="360" w:lineRule="auto"/>
        <w:rPr>
          <w:rFonts w:hint="eastAsia" w:ascii="宋体" w:hAnsi="宋体" w:cs="宋体"/>
          <w:b/>
          <w:color w:val="auto"/>
          <w:sz w:val="28"/>
          <w:szCs w:val="28"/>
        </w:rPr>
      </w:pPr>
    </w:p>
    <w:p w14:paraId="58219E7D">
      <w:pPr>
        <w:spacing w:line="360" w:lineRule="auto"/>
        <w:rPr>
          <w:rFonts w:hint="eastAsia" w:ascii="宋体" w:hAnsi="宋体" w:cs="宋体"/>
          <w:b/>
          <w:color w:val="auto"/>
          <w:sz w:val="28"/>
          <w:szCs w:val="28"/>
        </w:rPr>
      </w:pPr>
    </w:p>
    <w:p w14:paraId="37794A9E">
      <w:pPr>
        <w:spacing w:line="360" w:lineRule="auto"/>
        <w:rPr>
          <w:rFonts w:hint="eastAsia" w:ascii="宋体" w:hAnsi="宋体" w:cs="宋体"/>
          <w:b/>
          <w:color w:val="auto"/>
          <w:sz w:val="28"/>
          <w:szCs w:val="28"/>
        </w:rPr>
      </w:pPr>
      <w:r>
        <w:rPr>
          <w:rFonts w:hint="eastAsia" w:ascii="宋体" w:hAnsi="宋体" w:cs="宋体"/>
          <w:b/>
          <w:color w:val="auto"/>
          <w:sz w:val="28"/>
          <w:szCs w:val="28"/>
        </w:rPr>
        <w:t>质疑函制作说明：</w:t>
      </w:r>
    </w:p>
    <w:p w14:paraId="1C94BA5F">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1.供应商提出质疑时，应提交质疑函和必要的证明材料。</w:t>
      </w:r>
    </w:p>
    <w:p w14:paraId="384B092D">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2.质疑供应商若委托代理人进行质疑的，质疑函应按要求列明“授权代表”的有关内容，并在附件中提交由质疑</w:t>
      </w:r>
      <w:r>
        <w:rPr>
          <w:rFonts w:hint="eastAsia" w:ascii="宋体" w:hAnsi="宋体" w:cs="宋体"/>
          <w:color w:val="auto"/>
          <w:kern w:val="0"/>
          <w:sz w:val="28"/>
          <w:szCs w:val="28"/>
        </w:rPr>
        <w:t>供应商签署的授权委托书。授权委托书应载明代理人的姓名或者名称、代理事项、具体权限、期限和相关事项。</w:t>
      </w:r>
    </w:p>
    <w:p w14:paraId="2A3B7141">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3.质疑供应商若对项目的某一分包进行质疑，质疑函中应列明具体分包号。</w:t>
      </w:r>
    </w:p>
    <w:p w14:paraId="07448DAF">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4.质疑函的质疑事项应具体、明确，并有必要的事实依据和法律依据。</w:t>
      </w:r>
    </w:p>
    <w:p w14:paraId="426BEB1C">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5.质疑函的质疑请求应与质疑事项相关。</w:t>
      </w:r>
    </w:p>
    <w:p w14:paraId="59BF8311">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7" w:h="16839"/>
      <w:pgMar w:top="1440" w:right="1800" w:bottom="1440" w:left="1800" w:header="720" w:footer="720" w:gutter="0"/>
      <w:pgBorders>
        <w:top w:val="none" w:sz="0" w:space="0"/>
        <w:left w:val="none" w:sz="0" w:space="0"/>
        <w:bottom w:val="none" w:sz="0" w:space="0"/>
        <w:right w:val="none" w:sz="0" w:space="0"/>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85533">
    <w:pPr>
      <w:spacing w:line="116" w:lineRule="exact"/>
      <w:ind w:firstLine="4183"/>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783C8">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EF237A">
                          <w:pPr>
                            <w:pStyle w:val="18"/>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74EF237A">
                    <w:pPr>
                      <w:pStyle w:val="1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ABE6B">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3FC24">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41232"/>
    <w:multiLevelType w:val="multilevel"/>
    <w:tmpl w:val="86F41232"/>
    <w:lvl w:ilvl="0" w:tentative="0">
      <w:start w:val="1"/>
      <w:numFmt w:val="decimal"/>
      <w:pStyle w:val="100"/>
      <w:suff w:val="nothing"/>
      <w:lvlText w:val="表%1　"/>
      <w:lvlJc w:val="center"/>
      <w:pPr>
        <w:ind w:left="100" w:firstLine="0"/>
      </w:pPr>
      <w:rPr>
        <w:rFonts w:hint="default" w:ascii="仿宋" w:hAnsi="仿宋" w:eastAsia="仿宋" w:cs="仿宋"/>
        <w:b w:val="0"/>
        <w:i w:val="0"/>
        <w:sz w:val="28"/>
        <w:szCs w:val="28"/>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05"/>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03"/>
      <w:suff w:val="nothing"/>
      <w:lvlText w:val="%1.%2.%3　"/>
      <w:lvlJc w:val="left"/>
      <w:pPr>
        <w:ind w:left="850" w:firstLine="0"/>
      </w:pPr>
      <w:rPr>
        <w:rFonts w:hint="eastAsia" w:ascii="黑体" w:hAnsi="Times New Roman" w:eastAsia="黑体"/>
        <w:b w:val="0"/>
        <w:i w:val="0"/>
        <w:color w:val="000000"/>
        <w:sz w:val="21"/>
      </w:rPr>
    </w:lvl>
    <w:lvl w:ilvl="3" w:tentative="0">
      <w:start w:val="1"/>
      <w:numFmt w:val="decimal"/>
      <w:pStyle w:val="106"/>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8387256"/>
    <w:multiLevelType w:val="multilevel"/>
    <w:tmpl w:val="28387256"/>
    <w:lvl w:ilvl="0" w:tentative="0">
      <w:start w:val="1"/>
      <w:numFmt w:val="decimal"/>
      <w:suff w:val="space"/>
      <w:lvlText w:val="第%1章 "/>
      <w:lvlJc w:val="left"/>
      <w:pPr>
        <w:tabs>
          <w:tab w:val="left" w:pos="0"/>
        </w:tabs>
        <w:ind w:left="0" w:firstLine="0"/>
      </w:pPr>
      <w:rPr>
        <w:rFonts w:hint="eastAsia"/>
        <w:b/>
        <w:sz w:val="44"/>
      </w:rPr>
    </w:lvl>
    <w:lvl w:ilvl="1" w:tentative="0">
      <w:start w:val="1"/>
      <w:numFmt w:val="decimal"/>
      <w:pStyle w:val="96"/>
      <w:isLgl/>
      <w:suff w:val="space"/>
      <w:lvlText w:val="%1.%2 "/>
      <w:lvlJc w:val="left"/>
      <w:pPr>
        <w:tabs>
          <w:tab w:val="left" w:pos="0"/>
        </w:tabs>
        <w:ind w:left="567" w:hanging="567"/>
      </w:pPr>
      <w:rPr>
        <w:rFonts w:hint="default" w:ascii="Times New Roman" w:hAnsi="Times New Roman"/>
        <w:b/>
      </w:rPr>
    </w:lvl>
    <w:lvl w:ilvl="2" w:tentative="0">
      <w:start w:val="1"/>
      <w:numFmt w:val="decimal"/>
      <w:isLgl/>
      <w:suff w:val="space"/>
      <w:lvlText w:val="%1.%2.%3 "/>
      <w:lvlJc w:val="left"/>
      <w:pPr>
        <w:tabs>
          <w:tab w:val="left" w:pos="0"/>
        </w:tabs>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i w:val="0"/>
        <w:iCs w:val="0"/>
        <w:caps w:val="0"/>
        <w:smallCaps w:val="0"/>
        <w:strike w:val="0"/>
        <w:dstrike w:val="0"/>
        <w:vanish w:val="0"/>
        <w:spacing w:val="0"/>
        <w:position w:val="0"/>
        <w:u w:val="none"/>
        <w:vertAlign w:val="baseline"/>
      </w:rPr>
    </w:lvl>
    <w:lvl w:ilvl="4" w:tentative="0">
      <w:start w:val="1"/>
      <w:numFmt w:val="decimal"/>
      <w:isLgl/>
      <w:suff w:val="space"/>
      <w:lvlText w:val="%1.%2.%3.%4.%5 "/>
      <w:lvlJc w:val="left"/>
      <w:pPr>
        <w:tabs>
          <w:tab w:val="left" w:pos="0"/>
        </w:tabs>
        <w:ind w:left="567" w:hanging="567"/>
      </w:pPr>
      <w:rPr>
        <w:rFonts w:hint="eastAsia"/>
      </w:rPr>
    </w:lvl>
    <w:lvl w:ilvl="5" w:tentative="0">
      <w:start w:val="1"/>
      <w:numFmt w:val="decimal"/>
      <w:lvlText w:val="%1.%2.%3.%4.%5.%6"/>
      <w:lvlJc w:val="left"/>
      <w:pPr>
        <w:tabs>
          <w:tab w:val="left" w:pos="1152"/>
        </w:tabs>
        <w:ind w:left="1152" w:hanging="1152"/>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3">
    <w:nsid w:val="3E4510A2"/>
    <w:multiLevelType w:val="multilevel"/>
    <w:tmpl w:val="3E4510A2"/>
    <w:lvl w:ilvl="0" w:tentative="0">
      <w:start w:val="1"/>
      <w:numFmt w:val="decimal"/>
      <w:lvlText w:val="%1."/>
      <w:lvlJc w:val="left"/>
      <w:pPr>
        <w:ind w:left="205" w:hanging="322"/>
        <w:jc w:val="left"/>
      </w:pPr>
      <w:rPr>
        <w:rFonts w:hint="default" w:ascii="仿宋" w:hAnsi="仿宋" w:eastAsia="仿宋" w:cs="仿宋"/>
        <w:spacing w:val="-46"/>
        <w:w w:val="99"/>
        <w:sz w:val="30"/>
        <w:szCs w:val="30"/>
      </w:rPr>
    </w:lvl>
    <w:lvl w:ilvl="1" w:tentative="0">
      <w:start w:val="0"/>
      <w:numFmt w:val="bullet"/>
      <w:lvlText w:val="•"/>
      <w:lvlJc w:val="left"/>
      <w:pPr>
        <w:ind w:left="1074" w:hanging="322"/>
      </w:pPr>
      <w:rPr>
        <w:rFonts w:hint="default"/>
      </w:rPr>
    </w:lvl>
    <w:lvl w:ilvl="2" w:tentative="0">
      <w:start w:val="0"/>
      <w:numFmt w:val="bullet"/>
      <w:lvlText w:val="•"/>
      <w:lvlJc w:val="left"/>
      <w:pPr>
        <w:ind w:left="1949" w:hanging="322"/>
      </w:pPr>
      <w:rPr>
        <w:rFonts w:hint="default"/>
      </w:rPr>
    </w:lvl>
    <w:lvl w:ilvl="3" w:tentative="0">
      <w:start w:val="0"/>
      <w:numFmt w:val="bullet"/>
      <w:lvlText w:val="•"/>
      <w:lvlJc w:val="left"/>
      <w:pPr>
        <w:ind w:left="2823" w:hanging="322"/>
      </w:pPr>
      <w:rPr>
        <w:rFonts w:hint="default"/>
      </w:rPr>
    </w:lvl>
    <w:lvl w:ilvl="4" w:tentative="0">
      <w:start w:val="0"/>
      <w:numFmt w:val="bullet"/>
      <w:lvlText w:val="•"/>
      <w:lvlJc w:val="left"/>
      <w:pPr>
        <w:ind w:left="3698" w:hanging="322"/>
      </w:pPr>
      <w:rPr>
        <w:rFonts w:hint="default"/>
      </w:rPr>
    </w:lvl>
    <w:lvl w:ilvl="5" w:tentative="0">
      <w:start w:val="0"/>
      <w:numFmt w:val="bullet"/>
      <w:lvlText w:val="•"/>
      <w:lvlJc w:val="left"/>
      <w:pPr>
        <w:ind w:left="4573" w:hanging="322"/>
      </w:pPr>
      <w:rPr>
        <w:rFonts w:hint="default"/>
      </w:rPr>
    </w:lvl>
    <w:lvl w:ilvl="6" w:tentative="0">
      <w:start w:val="0"/>
      <w:numFmt w:val="bullet"/>
      <w:lvlText w:val="•"/>
      <w:lvlJc w:val="left"/>
      <w:pPr>
        <w:ind w:left="5447" w:hanging="322"/>
      </w:pPr>
      <w:rPr>
        <w:rFonts w:hint="default"/>
      </w:rPr>
    </w:lvl>
    <w:lvl w:ilvl="7" w:tentative="0">
      <w:start w:val="0"/>
      <w:numFmt w:val="bullet"/>
      <w:lvlText w:val="•"/>
      <w:lvlJc w:val="left"/>
      <w:pPr>
        <w:ind w:left="6322" w:hanging="322"/>
      </w:pPr>
      <w:rPr>
        <w:rFonts w:hint="default"/>
      </w:rPr>
    </w:lvl>
    <w:lvl w:ilvl="8" w:tentative="0">
      <w:start w:val="0"/>
      <w:numFmt w:val="bullet"/>
      <w:lvlText w:val="•"/>
      <w:lvlJc w:val="left"/>
      <w:pPr>
        <w:ind w:left="7196" w:hanging="322"/>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 w:name="KSO_WPS_MARK_KEY" w:val="edd408a1-b375-4b40-a9cb-3acf64b7781a"/>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7214"/>
    <w:rsid w:val="00031E5F"/>
    <w:rsid w:val="00033A03"/>
    <w:rsid w:val="00034FFC"/>
    <w:rsid w:val="0003522D"/>
    <w:rsid w:val="00035F29"/>
    <w:rsid w:val="000363E7"/>
    <w:rsid w:val="00040BC7"/>
    <w:rsid w:val="00043CCD"/>
    <w:rsid w:val="0004687B"/>
    <w:rsid w:val="00046AE8"/>
    <w:rsid w:val="00051BE5"/>
    <w:rsid w:val="00051C4B"/>
    <w:rsid w:val="00052E10"/>
    <w:rsid w:val="000531E3"/>
    <w:rsid w:val="00054B69"/>
    <w:rsid w:val="00055731"/>
    <w:rsid w:val="00057C9F"/>
    <w:rsid w:val="0006312A"/>
    <w:rsid w:val="00064E5C"/>
    <w:rsid w:val="0006533C"/>
    <w:rsid w:val="000674BE"/>
    <w:rsid w:val="00067D3A"/>
    <w:rsid w:val="000707B4"/>
    <w:rsid w:val="000733BC"/>
    <w:rsid w:val="000733D5"/>
    <w:rsid w:val="000743C3"/>
    <w:rsid w:val="00077641"/>
    <w:rsid w:val="000811BB"/>
    <w:rsid w:val="00081A99"/>
    <w:rsid w:val="0008288C"/>
    <w:rsid w:val="000860E4"/>
    <w:rsid w:val="000863D2"/>
    <w:rsid w:val="000930EC"/>
    <w:rsid w:val="000931E9"/>
    <w:rsid w:val="0009351A"/>
    <w:rsid w:val="00093B09"/>
    <w:rsid w:val="00093F93"/>
    <w:rsid w:val="000949F1"/>
    <w:rsid w:val="0009650A"/>
    <w:rsid w:val="00096D7E"/>
    <w:rsid w:val="000A02E1"/>
    <w:rsid w:val="000A13B7"/>
    <w:rsid w:val="000A3BFD"/>
    <w:rsid w:val="000A5B2F"/>
    <w:rsid w:val="000B0744"/>
    <w:rsid w:val="000B09B6"/>
    <w:rsid w:val="000B78D1"/>
    <w:rsid w:val="000B7DF5"/>
    <w:rsid w:val="000C09DC"/>
    <w:rsid w:val="000C17F6"/>
    <w:rsid w:val="000C197E"/>
    <w:rsid w:val="000C433D"/>
    <w:rsid w:val="000C5D4C"/>
    <w:rsid w:val="000C6148"/>
    <w:rsid w:val="000C6432"/>
    <w:rsid w:val="000C660A"/>
    <w:rsid w:val="000C70B7"/>
    <w:rsid w:val="000D0543"/>
    <w:rsid w:val="000D21D5"/>
    <w:rsid w:val="000D3ACA"/>
    <w:rsid w:val="000D3C5A"/>
    <w:rsid w:val="000D4824"/>
    <w:rsid w:val="000D68E3"/>
    <w:rsid w:val="000D6B97"/>
    <w:rsid w:val="000E0E34"/>
    <w:rsid w:val="000E0E54"/>
    <w:rsid w:val="000E2F2C"/>
    <w:rsid w:val="000E474C"/>
    <w:rsid w:val="000E6565"/>
    <w:rsid w:val="000F23EA"/>
    <w:rsid w:val="000F28DF"/>
    <w:rsid w:val="000F4450"/>
    <w:rsid w:val="000F5ACE"/>
    <w:rsid w:val="000F7D4F"/>
    <w:rsid w:val="00102CB7"/>
    <w:rsid w:val="00102CE8"/>
    <w:rsid w:val="00104AF2"/>
    <w:rsid w:val="0010514D"/>
    <w:rsid w:val="001104D2"/>
    <w:rsid w:val="00115E82"/>
    <w:rsid w:val="00116E44"/>
    <w:rsid w:val="001244CE"/>
    <w:rsid w:val="0012592D"/>
    <w:rsid w:val="0012699C"/>
    <w:rsid w:val="00127475"/>
    <w:rsid w:val="00131A4E"/>
    <w:rsid w:val="00132D06"/>
    <w:rsid w:val="00135746"/>
    <w:rsid w:val="001359DC"/>
    <w:rsid w:val="00137F66"/>
    <w:rsid w:val="00141B11"/>
    <w:rsid w:val="001439B3"/>
    <w:rsid w:val="001443A6"/>
    <w:rsid w:val="00144853"/>
    <w:rsid w:val="0014603C"/>
    <w:rsid w:val="001463C7"/>
    <w:rsid w:val="001467F4"/>
    <w:rsid w:val="00150D31"/>
    <w:rsid w:val="00151847"/>
    <w:rsid w:val="00154178"/>
    <w:rsid w:val="00155581"/>
    <w:rsid w:val="00156591"/>
    <w:rsid w:val="001570D4"/>
    <w:rsid w:val="0015743C"/>
    <w:rsid w:val="00157B2B"/>
    <w:rsid w:val="00160309"/>
    <w:rsid w:val="0016109E"/>
    <w:rsid w:val="001620CF"/>
    <w:rsid w:val="00162A03"/>
    <w:rsid w:val="001639C2"/>
    <w:rsid w:val="00163D0B"/>
    <w:rsid w:val="001646CB"/>
    <w:rsid w:val="00170904"/>
    <w:rsid w:val="0017113F"/>
    <w:rsid w:val="001731C5"/>
    <w:rsid w:val="00173C44"/>
    <w:rsid w:val="0017626E"/>
    <w:rsid w:val="00181CDA"/>
    <w:rsid w:val="00181ED3"/>
    <w:rsid w:val="00182CCA"/>
    <w:rsid w:val="001869A8"/>
    <w:rsid w:val="00187BE1"/>
    <w:rsid w:val="001903D4"/>
    <w:rsid w:val="0019251D"/>
    <w:rsid w:val="00192DB5"/>
    <w:rsid w:val="00197945"/>
    <w:rsid w:val="001A0364"/>
    <w:rsid w:val="001A0C8B"/>
    <w:rsid w:val="001A1AC6"/>
    <w:rsid w:val="001A3EDD"/>
    <w:rsid w:val="001A47E3"/>
    <w:rsid w:val="001A67C9"/>
    <w:rsid w:val="001B2572"/>
    <w:rsid w:val="001B344D"/>
    <w:rsid w:val="001B663D"/>
    <w:rsid w:val="001B6EC8"/>
    <w:rsid w:val="001C1D5F"/>
    <w:rsid w:val="001C45F5"/>
    <w:rsid w:val="001C4662"/>
    <w:rsid w:val="001C5B8A"/>
    <w:rsid w:val="001C6AFF"/>
    <w:rsid w:val="001D279A"/>
    <w:rsid w:val="001D3500"/>
    <w:rsid w:val="001D4EC2"/>
    <w:rsid w:val="001D66F0"/>
    <w:rsid w:val="001D6723"/>
    <w:rsid w:val="001D6A81"/>
    <w:rsid w:val="001E1433"/>
    <w:rsid w:val="001E53BC"/>
    <w:rsid w:val="001E601F"/>
    <w:rsid w:val="001F120D"/>
    <w:rsid w:val="001F3AEC"/>
    <w:rsid w:val="001F4F3E"/>
    <w:rsid w:val="001F7EC5"/>
    <w:rsid w:val="002007BF"/>
    <w:rsid w:val="00201576"/>
    <w:rsid w:val="00204B7C"/>
    <w:rsid w:val="002106EA"/>
    <w:rsid w:val="002131C8"/>
    <w:rsid w:val="00214649"/>
    <w:rsid w:val="00214B6D"/>
    <w:rsid w:val="00215DD8"/>
    <w:rsid w:val="0021679D"/>
    <w:rsid w:val="002200FB"/>
    <w:rsid w:val="0022164E"/>
    <w:rsid w:val="00221C90"/>
    <w:rsid w:val="00223407"/>
    <w:rsid w:val="002244DA"/>
    <w:rsid w:val="00227E29"/>
    <w:rsid w:val="00230636"/>
    <w:rsid w:val="002330E2"/>
    <w:rsid w:val="0023425B"/>
    <w:rsid w:val="00234DAB"/>
    <w:rsid w:val="00235DF7"/>
    <w:rsid w:val="00237E0C"/>
    <w:rsid w:val="00241BB8"/>
    <w:rsid w:val="00244143"/>
    <w:rsid w:val="00244939"/>
    <w:rsid w:val="002468F0"/>
    <w:rsid w:val="00247C93"/>
    <w:rsid w:val="00250900"/>
    <w:rsid w:val="002546EC"/>
    <w:rsid w:val="00254A15"/>
    <w:rsid w:val="00254B39"/>
    <w:rsid w:val="00255AAF"/>
    <w:rsid w:val="002602DD"/>
    <w:rsid w:val="00260626"/>
    <w:rsid w:val="0026242C"/>
    <w:rsid w:val="002647BE"/>
    <w:rsid w:val="00264B9B"/>
    <w:rsid w:val="00270410"/>
    <w:rsid w:val="00274032"/>
    <w:rsid w:val="002748BD"/>
    <w:rsid w:val="0027499D"/>
    <w:rsid w:val="00275C65"/>
    <w:rsid w:val="0028324B"/>
    <w:rsid w:val="002840DC"/>
    <w:rsid w:val="002871A5"/>
    <w:rsid w:val="00290923"/>
    <w:rsid w:val="00291471"/>
    <w:rsid w:val="00292164"/>
    <w:rsid w:val="00294605"/>
    <w:rsid w:val="002947ED"/>
    <w:rsid w:val="002975D9"/>
    <w:rsid w:val="002A1054"/>
    <w:rsid w:val="002A287A"/>
    <w:rsid w:val="002A3E8C"/>
    <w:rsid w:val="002A4991"/>
    <w:rsid w:val="002A5D03"/>
    <w:rsid w:val="002A7755"/>
    <w:rsid w:val="002A79A7"/>
    <w:rsid w:val="002A7E8F"/>
    <w:rsid w:val="002A7F5E"/>
    <w:rsid w:val="002B1C13"/>
    <w:rsid w:val="002B1C92"/>
    <w:rsid w:val="002B6371"/>
    <w:rsid w:val="002B64B0"/>
    <w:rsid w:val="002C02A7"/>
    <w:rsid w:val="002C02C7"/>
    <w:rsid w:val="002C04E9"/>
    <w:rsid w:val="002C221F"/>
    <w:rsid w:val="002C29D9"/>
    <w:rsid w:val="002C41EE"/>
    <w:rsid w:val="002C4C6D"/>
    <w:rsid w:val="002C507B"/>
    <w:rsid w:val="002C72A6"/>
    <w:rsid w:val="002C7639"/>
    <w:rsid w:val="002D0144"/>
    <w:rsid w:val="002D04B2"/>
    <w:rsid w:val="002D0C68"/>
    <w:rsid w:val="002D1841"/>
    <w:rsid w:val="002D255D"/>
    <w:rsid w:val="002D6B94"/>
    <w:rsid w:val="002D714C"/>
    <w:rsid w:val="002E0E57"/>
    <w:rsid w:val="002E1B37"/>
    <w:rsid w:val="002E27F7"/>
    <w:rsid w:val="002E42CD"/>
    <w:rsid w:val="002E56B3"/>
    <w:rsid w:val="002E5F8C"/>
    <w:rsid w:val="002E7263"/>
    <w:rsid w:val="002F0CF8"/>
    <w:rsid w:val="002F2DDD"/>
    <w:rsid w:val="002F4256"/>
    <w:rsid w:val="002F5BD8"/>
    <w:rsid w:val="002F60B7"/>
    <w:rsid w:val="002F6776"/>
    <w:rsid w:val="002F6EC6"/>
    <w:rsid w:val="002F70DF"/>
    <w:rsid w:val="003009D5"/>
    <w:rsid w:val="00300A5F"/>
    <w:rsid w:val="00302E16"/>
    <w:rsid w:val="00310100"/>
    <w:rsid w:val="00310B22"/>
    <w:rsid w:val="00310EFD"/>
    <w:rsid w:val="003121B1"/>
    <w:rsid w:val="00314C38"/>
    <w:rsid w:val="003164A3"/>
    <w:rsid w:val="00320476"/>
    <w:rsid w:val="00320B07"/>
    <w:rsid w:val="00320C34"/>
    <w:rsid w:val="00321CBF"/>
    <w:rsid w:val="0032216A"/>
    <w:rsid w:val="003228A9"/>
    <w:rsid w:val="00322B57"/>
    <w:rsid w:val="00330686"/>
    <w:rsid w:val="0033200D"/>
    <w:rsid w:val="00334C59"/>
    <w:rsid w:val="003406AD"/>
    <w:rsid w:val="003436D0"/>
    <w:rsid w:val="00343D2E"/>
    <w:rsid w:val="00345A3C"/>
    <w:rsid w:val="0035199B"/>
    <w:rsid w:val="00355201"/>
    <w:rsid w:val="00355DE5"/>
    <w:rsid w:val="0035734A"/>
    <w:rsid w:val="00357E18"/>
    <w:rsid w:val="003602C3"/>
    <w:rsid w:val="003604DF"/>
    <w:rsid w:val="00361079"/>
    <w:rsid w:val="00364309"/>
    <w:rsid w:val="00367806"/>
    <w:rsid w:val="00367A68"/>
    <w:rsid w:val="0037007E"/>
    <w:rsid w:val="0037119F"/>
    <w:rsid w:val="0037319F"/>
    <w:rsid w:val="00375458"/>
    <w:rsid w:val="00381D8F"/>
    <w:rsid w:val="00383292"/>
    <w:rsid w:val="00385B36"/>
    <w:rsid w:val="0039137F"/>
    <w:rsid w:val="00395FAE"/>
    <w:rsid w:val="00395FE0"/>
    <w:rsid w:val="003979A3"/>
    <w:rsid w:val="003A3808"/>
    <w:rsid w:val="003A42A7"/>
    <w:rsid w:val="003A4DE4"/>
    <w:rsid w:val="003B1C66"/>
    <w:rsid w:val="003B38ED"/>
    <w:rsid w:val="003B5148"/>
    <w:rsid w:val="003B75AA"/>
    <w:rsid w:val="003C6991"/>
    <w:rsid w:val="003C71ED"/>
    <w:rsid w:val="003D041B"/>
    <w:rsid w:val="003D06E5"/>
    <w:rsid w:val="003D199E"/>
    <w:rsid w:val="003D4401"/>
    <w:rsid w:val="003D63CA"/>
    <w:rsid w:val="003D64B6"/>
    <w:rsid w:val="003E0179"/>
    <w:rsid w:val="003E2B34"/>
    <w:rsid w:val="003E3257"/>
    <w:rsid w:val="003F1853"/>
    <w:rsid w:val="003F32CE"/>
    <w:rsid w:val="003F3E0C"/>
    <w:rsid w:val="003F4126"/>
    <w:rsid w:val="003F4D19"/>
    <w:rsid w:val="003F549E"/>
    <w:rsid w:val="003F5D1B"/>
    <w:rsid w:val="003F7843"/>
    <w:rsid w:val="00403B9D"/>
    <w:rsid w:val="00407224"/>
    <w:rsid w:val="00407903"/>
    <w:rsid w:val="00407BFC"/>
    <w:rsid w:val="004101B0"/>
    <w:rsid w:val="004103F6"/>
    <w:rsid w:val="00410D0B"/>
    <w:rsid w:val="00412036"/>
    <w:rsid w:val="00417B67"/>
    <w:rsid w:val="00422590"/>
    <w:rsid w:val="00422FCC"/>
    <w:rsid w:val="00423142"/>
    <w:rsid w:val="004247C4"/>
    <w:rsid w:val="00426626"/>
    <w:rsid w:val="00431BA5"/>
    <w:rsid w:val="00432FD1"/>
    <w:rsid w:val="0043442A"/>
    <w:rsid w:val="00434A49"/>
    <w:rsid w:val="004358AD"/>
    <w:rsid w:val="00435AA8"/>
    <w:rsid w:val="00443C88"/>
    <w:rsid w:val="0044543D"/>
    <w:rsid w:val="00446291"/>
    <w:rsid w:val="004464E9"/>
    <w:rsid w:val="00452A22"/>
    <w:rsid w:val="00454921"/>
    <w:rsid w:val="00454E44"/>
    <w:rsid w:val="004555A4"/>
    <w:rsid w:val="00456B89"/>
    <w:rsid w:val="00461B41"/>
    <w:rsid w:val="00462EA0"/>
    <w:rsid w:val="00464D34"/>
    <w:rsid w:val="00472FA9"/>
    <w:rsid w:val="0047528B"/>
    <w:rsid w:val="00476030"/>
    <w:rsid w:val="004767BD"/>
    <w:rsid w:val="0048021C"/>
    <w:rsid w:val="00480AC6"/>
    <w:rsid w:val="00481750"/>
    <w:rsid w:val="0048181A"/>
    <w:rsid w:val="00482671"/>
    <w:rsid w:val="00483895"/>
    <w:rsid w:val="00490A35"/>
    <w:rsid w:val="00495061"/>
    <w:rsid w:val="004956F7"/>
    <w:rsid w:val="00495EB8"/>
    <w:rsid w:val="00496FC3"/>
    <w:rsid w:val="00497322"/>
    <w:rsid w:val="004A12FD"/>
    <w:rsid w:val="004A1844"/>
    <w:rsid w:val="004A3046"/>
    <w:rsid w:val="004A4B9D"/>
    <w:rsid w:val="004A6679"/>
    <w:rsid w:val="004A704F"/>
    <w:rsid w:val="004A72A4"/>
    <w:rsid w:val="004A7824"/>
    <w:rsid w:val="004A7C96"/>
    <w:rsid w:val="004B0010"/>
    <w:rsid w:val="004B05CA"/>
    <w:rsid w:val="004B4B6D"/>
    <w:rsid w:val="004C1B27"/>
    <w:rsid w:val="004C201C"/>
    <w:rsid w:val="004C385B"/>
    <w:rsid w:val="004D01E3"/>
    <w:rsid w:val="004D144D"/>
    <w:rsid w:val="004D1CDD"/>
    <w:rsid w:val="004D21FC"/>
    <w:rsid w:val="004D2202"/>
    <w:rsid w:val="004D2E8C"/>
    <w:rsid w:val="004D3773"/>
    <w:rsid w:val="004D44E4"/>
    <w:rsid w:val="004D45FF"/>
    <w:rsid w:val="004D483C"/>
    <w:rsid w:val="004D5292"/>
    <w:rsid w:val="004E06BF"/>
    <w:rsid w:val="004E152F"/>
    <w:rsid w:val="004E2A00"/>
    <w:rsid w:val="004E2F63"/>
    <w:rsid w:val="004E3BF5"/>
    <w:rsid w:val="004F099F"/>
    <w:rsid w:val="004F3CB4"/>
    <w:rsid w:val="00503474"/>
    <w:rsid w:val="00503BA7"/>
    <w:rsid w:val="0050700C"/>
    <w:rsid w:val="005119D2"/>
    <w:rsid w:val="00513B39"/>
    <w:rsid w:val="0051484C"/>
    <w:rsid w:val="00514E8A"/>
    <w:rsid w:val="00515B97"/>
    <w:rsid w:val="00515D24"/>
    <w:rsid w:val="00516020"/>
    <w:rsid w:val="0052071E"/>
    <w:rsid w:val="00521230"/>
    <w:rsid w:val="00526739"/>
    <w:rsid w:val="00527470"/>
    <w:rsid w:val="00527778"/>
    <w:rsid w:val="00530A3C"/>
    <w:rsid w:val="00532491"/>
    <w:rsid w:val="00533458"/>
    <w:rsid w:val="0053376D"/>
    <w:rsid w:val="00533A7A"/>
    <w:rsid w:val="00534F0F"/>
    <w:rsid w:val="00536ADE"/>
    <w:rsid w:val="00537FB8"/>
    <w:rsid w:val="00540B38"/>
    <w:rsid w:val="00541A40"/>
    <w:rsid w:val="005420D2"/>
    <w:rsid w:val="00542B48"/>
    <w:rsid w:val="00542C35"/>
    <w:rsid w:val="0054329E"/>
    <w:rsid w:val="00543E4D"/>
    <w:rsid w:val="00545012"/>
    <w:rsid w:val="00545A0B"/>
    <w:rsid w:val="005468AD"/>
    <w:rsid w:val="00551258"/>
    <w:rsid w:val="00553179"/>
    <w:rsid w:val="00554692"/>
    <w:rsid w:val="00554B19"/>
    <w:rsid w:val="00555573"/>
    <w:rsid w:val="00556006"/>
    <w:rsid w:val="005569D2"/>
    <w:rsid w:val="00561A91"/>
    <w:rsid w:val="005627F2"/>
    <w:rsid w:val="00562FB5"/>
    <w:rsid w:val="005632D0"/>
    <w:rsid w:val="00564B31"/>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3A35"/>
    <w:rsid w:val="0059608C"/>
    <w:rsid w:val="0059678A"/>
    <w:rsid w:val="005A1415"/>
    <w:rsid w:val="005A380E"/>
    <w:rsid w:val="005A506D"/>
    <w:rsid w:val="005A5EAE"/>
    <w:rsid w:val="005A7731"/>
    <w:rsid w:val="005B02F9"/>
    <w:rsid w:val="005B0BAF"/>
    <w:rsid w:val="005B0E49"/>
    <w:rsid w:val="005B1F16"/>
    <w:rsid w:val="005B1F8C"/>
    <w:rsid w:val="005B21BD"/>
    <w:rsid w:val="005B48F7"/>
    <w:rsid w:val="005B5D7D"/>
    <w:rsid w:val="005B688B"/>
    <w:rsid w:val="005B71B9"/>
    <w:rsid w:val="005B71DC"/>
    <w:rsid w:val="005B76D0"/>
    <w:rsid w:val="005C06AF"/>
    <w:rsid w:val="005C0BF8"/>
    <w:rsid w:val="005C20F7"/>
    <w:rsid w:val="005C2ABD"/>
    <w:rsid w:val="005C2F55"/>
    <w:rsid w:val="005C38A7"/>
    <w:rsid w:val="005C63F5"/>
    <w:rsid w:val="005C7A1F"/>
    <w:rsid w:val="005D015B"/>
    <w:rsid w:val="005D0AD7"/>
    <w:rsid w:val="005D0C2B"/>
    <w:rsid w:val="005D2DCB"/>
    <w:rsid w:val="005D4732"/>
    <w:rsid w:val="005D7364"/>
    <w:rsid w:val="005D7993"/>
    <w:rsid w:val="005E1A14"/>
    <w:rsid w:val="005E44C9"/>
    <w:rsid w:val="005E4685"/>
    <w:rsid w:val="005E5BB9"/>
    <w:rsid w:val="005E7D8E"/>
    <w:rsid w:val="005F1266"/>
    <w:rsid w:val="005F16EC"/>
    <w:rsid w:val="005F17B2"/>
    <w:rsid w:val="005F4B25"/>
    <w:rsid w:val="005F4F51"/>
    <w:rsid w:val="005F57EA"/>
    <w:rsid w:val="005F6069"/>
    <w:rsid w:val="005F60A5"/>
    <w:rsid w:val="005F70F9"/>
    <w:rsid w:val="005F7ACA"/>
    <w:rsid w:val="006001DA"/>
    <w:rsid w:val="00603D1A"/>
    <w:rsid w:val="00605FEF"/>
    <w:rsid w:val="00606BE4"/>
    <w:rsid w:val="006078EC"/>
    <w:rsid w:val="0061376F"/>
    <w:rsid w:val="00614C21"/>
    <w:rsid w:val="00615482"/>
    <w:rsid w:val="00615983"/>
    <w:rsid w:val="00615F7F"/>
    <w:rsid w:val="00616192"/>
    <w:rsid w:val="00617ABF"/>
    <w:rsid w:val="00621D6D"/>
    <w:rsid w:val="00624F5F"/>
    <w:rsid w:val="0062611B"/>
    <w:rsid w:val="006277EC"/>
    <w:rsid w:val="00630646"/>
    <w:rsid w:val="00632BD0"/>
    <w:rsid w:val="00634A4B"/>
    <w:rsid w:val="00635ECA"/>
    <w:rsid w:val="00637DDA"/>
    <w:rsid w:val="00642E22"/>
    <w:rsid w:val="006550C1"/>
    <w:rsid w:val="00655F61"/>
    <w:rsid w:val="00663E65"/>
    <w:rsid w:val="00665DDD"/>
    <w:rsid w:val="00667586"/>
    <w:rsid w:val="006679E2"/>
    <w:rsid w:val="0067083A"/>
    <w:rsid w:val="00670CCF"/>
    <w:rsid w:val="00670E4B"/>
    <w:rsid w:val="0067155A"/>
    <w:rsid w:val="006724BC"/>
    <w:rsid w:val="006746C4"/>
    <w:rsid w:val="006771C9"/>
    <w:rsid w:val="00677ABA"/>
    <w:rsid w:val="00684B51"/>
    <w:rsid w:val="00686543"/>
    <w:rsid w:val="00687A51"/>
    <w:rsid w:val="00690502"/>
    <w:rsid w:val="00691715"/>
    <w:rsid w:val="00691F70"/>
    <w:rsid w:val="0069283A"/>
    <w:rsid w:val="0069299B"/>
    <w:rsid w:val="006978FC"/>
    <w:rsid w:val="006A4C2F"/>
    <w:rsid w:val="006A5C54"/>
    <w:rsid w:val="006A5D76"/>
    <w:rsid w:val="006B2BD2"/>
    <w:rsid w:val="006B5071"/>
    <w:rsid w:val="006B6DA9"/>
    <w:rsid w:val="006B71E7"/>
    <w:rsid w:val="006C5470"/>
    <w:rsid w:val="006C5AA4"/>
    <w:rsid w:val="006C6D70"/>
    <w:rsid w:val="006C7523"/>
    <w:rsid w:val="006D041D"/>
    <w:rsid w:val="006D12EF"/>
    <w:rsid w:val="006D177E"/>
    <w:rsid w:val="006D6598"/>
    <w:rsid w:val="006D6A87"/>
    <w:rsid w:val="006D6D47"/>
    <w:rsid w:val="006E3200"/>
    <w:rsid w:val="006E3E45"/>
    <w:rsid w:val="006E4A3F"/>
    <w:rsid w:val="006E5AD6"/>
    <w:rsid w:val="006E6B2F"/>
    <w:rsid w:val="006F0802"/>
    <w:rsid w:val="006F2FDC"/>
    <w:rsid w:val="0070050A"/>
    <w:rsid w:val="00701FC9"/>
    <w:rsid w:val="00702715"/>
    <w:rsid w:val="00703177"/>
    <w:rsid w:val="007070D1"/>
    <w:rsid w:val="007110EF"/>
    <w:rsid w:val="00714C6D"/>
    <w:rsid w:val="007155C8"/>
    <w:rsid w:val="00716863"/>
    <w:rsid w:val="00717570"/>
    <w:rsid w:val="0071761D"/>
    <w:rsid w:val="007177BD"/>
    <w:rsid w:val="00717CC3"/>
    <w:rsid w:val="00720862"/>
    <w:rsid w:val="00721F06"/>
    <w:rsid w:val="00723E77"/>
    <w:rsid w:val="00725C76"/>
    <w:rsid w:val="00726914"/>
    <w:rsid w:val="007276C7"/>
    <w:rsid w:val="007300A3"/>
    <w:rsid w:val="007306B8"/>
    <w:rsid w:val="00731236"/>
    <w:rsid w:val="00731C55"/>
    <w:rsid w:val="00732767"/>
    <w:rsid w:val="0073472E"/>
    <w:rsid w:val="00736373"/>
    <w:rsid w:val="00746F5A"/>
    <w:rsid w:val="00747E37"/>
    <w:rsid w:val="007513A7"/>
    <w:rsid w:val="00751504"/>
    <w:rsid w:val="007517B2"/>
    <w:rsid w:val="007526C6"/>
    <w:rsid w:val="0075320C"/>
    <w:rsid w:val="007536EF"/>
    <w:rsid w:val="00753BF0"/>
    <w:rsid w:val="00755FC7"/>
    <w:rsid w:val="00760802"/>
    <w:rsid w:val="00760CB0"/>
    <w:rsid w:val="00760DDB"/>
    <w:rsid w:val="0076390F"/>
    <w:rsid w:val="00765BEA"/>
    <w:rsid w:val="007666DE"/>
    <w:rsid w:val="0077291C"/>
    <w:rsid w:val="007738FD"/>
    <w:rsid w:val="00773A5D"/>
    <w:rsid w:val="00776D95"/>
    <w:rsid w:val="00781919"/>
    <w:rsid w:val="007826F0"/>
    <w:rsid w:val="00782C8B"/>
    <w:rsid w:val="00782EF3"/>
    <w:rsid w:val="00784409"/>
    <w:rsid w:val="00787BE5"/>
    <w:rsid w:val="00791CD7"/>
    <w:rsid w:val="00792E96"/>
    <w:rsid w:val="00793250"/>
    <w:rsid w:val="00794B53"/>
    <w:rsid w:val="007975A1"/>
    <w:rsid w:val="007A116D"/>
    <w:rsid w:val="007A155F"/>
    <w:rsid w:val="007A29EE"/>
    <w:rsid w:val="007A6F63"/>
    <w:rsid w:val="007B0654"/>
    <w:rsid w:val="007B10D0"/>
    <w:rsid w:val="007B2B83"/>
    <w:rsid w:val="007B4D8F"/>
    <w:rsid w:val="007B5B52"/>
    <w:rsid w:val="007B6989"/>
    <w:rsid w:val="007B77F4"/>
    <w:rsid w:val="007C1564"/>
    <w:rsid w:val="007C1C13"/>
    <w:rsid w:val="007C2E08"/>
    <w:rsid w:val="007C456E"/>
    <w:rsid w:val="007C4F92"/>
    <w:rsid w:val="007C63C9"/>
    <w:rsid w:val="007D1241"/>
    <w:rsid w:val="007D1696"/>
    <w:rsid w:val="007D4874"/>
    <w:rsid w:val="007D5914"/>
    <w:rsid w:val="007D76AC"/>
    <w:rsid w:val="007E04C2"/>
    <w:rsid w:val="007E3A62"/>
    <w:rsid w:val="007E4448"/>
    <w:rsid w:val="007E4C1C"/>
    <w:rsid w:val="007E667A"/>
    <w:rsid w:val="007F098A"/>
    <w:rsid w:val="007F1A35"/>
    <w:rsid w:val="007F1DB3"/>
    <w:rsid w:val="007F6A4A"/>
    <w:rsid w:val="007F6C18"/>
    <w:rsid w:val="007F7F83"/>
    <w:rsid w:val="00800DC9"/>
    <w:rsid w:val="00802238"/>
    <w:rsid w:val="0080270D"/>
    <w:rsid w:val="00802DD1"/>
    <w:rsid w:val="00803663"/>
    <w:rsid w:val="00803DC1"/>
    <w:rsid w:val="0080455C"/>
    <w:rsid w:val="00806901"/>
    <w:rsid w:val="00807C9C"/>
    <w:rsid w:val="00810974"/>
    <w:rsid w:val="00811C64"/>
    <w:rsid w:val="0081445E"/>
    <w:rsid w:val="0081468A"/>
    <w:rsid w:val="0081539D"/>
    <w:rsid w:val="00820BBA"/>
    <w:rsid w:val="00825CEA"/>
    <w:rsid w:val="00826495"/>
    <w:rsid w:val="00826A8E"/>
    <w:rsid w:val="008276AF"/>
    <w:rsid w:val="00827AB4"/>
    <w:rsid w:val="008346D9"/>
    <w:rsid w:val="00834E31"/>
    <w:rsid w:val="00835269"/>
    <w:rsid w:val="00837419"/>
    <w:rsid w:val="00841969"/>
    <w:rsid w:val="0084230F"/>
    <w:rsid w:val="00843E6D"/>
    <w:rsid w:val="0084449A"/>
    <w:rsid w:val="0084496E"/>
    <w:rsid w:val="00846157"/>
    <w:rsid w:val="008479FF"/>
    <w:rsid w:val="00851F7D"/>
    <w:rsid w:val="008535D2"/>
    <w:rsid w:val="00854624"/>
    <w:rsid w:val="008619A1"/>
    <w:rsid w:val="00861D87"/>
    <w:rsid w:val="00861F35"/>
    <w:rsid w:val="0086246D"/>
    <w:rsid w:val="00862904"/>
    <w:rsid w:val="008646B1"/>
    <w:rsid w:val="008660CD"/>
    <w:rsid w:val="00870789"/>
    <w:rsid w:val="0087299F"/>
    <w:rsid w:val="00873EBB"/>
    <w:rsid w:val="0087426A"/>
    <w:rsid w:val="0087707F"/>
    <w:rsid w:val="00880AE4"/>
    <w:rsid w:val="00881756"/>
    <w:rsid w:val="0088337A"/>
    <w:rsid w:val="008858B1"/>
    <w:rsid w:val="0088599A"/>
    <w:rsid w:val="00886511"/>
    <w:rsid w:val="00887480"/>
    <w:rsid w:val="00887FD2"/>
    <w:rsid w:val="00895657"/>
    <w:rsid w:val="008966C9"/>
    <w:rsid w:val="00897A59"/>
    <w:rsid w:val="008A1958"/>
    <w:rsid w:val="008A2A50"/>
    <w:rsid w:val="008A4BAB"/>
    <w:rsid w:val="008A662B"/>
    <w:rsid w:val="008A778E"/>
    <w:rsid w:val="008A7EED"/>
    <w:rsid w:val="008B54A4"/>
    <w:rsid w:val="008B5D02"/>
    <w:rsid w:val="008B6038"/>
    <w:rsid w:val="008B7D19"/>
    <w:rsid w:val="008C113D"/>
    <w:rsid w:val="008C617D"/>
    <w:rsid w:val="008C67B4"/>
    <w:rsid w:val="008C6E04"/>
    <w:rsid w:val="008D0955"/>
    <w:rsid w:val="008D099A"/>
    <w:rsid w:val="008D13F8"/>
    <w:rsid w:val="008D19E0"/>
    <w:rsid w:val="008D231E"/>
    <w:rsid w:val="008D5920"/>
    <w:rsid w:val="008D5D69"/>
    <w:rsid w:val="008E05A2"/>
    <w:rsid w:val="008E0F02"/>
    <w:rsid w:val="008E4EE4"/>
    <w:rsid w:val="008E61F1"/>
    <w:rsid w:val="008E6ABA"/>
    <w:rsid w:val="008E6C8B"/>
    <w:rsid w:val="008E7641"/>
    <w:rsid w:val="008E7728"/>
    <w:rsid w:val="008F141B"/>
    <w:rsid w:val="008F5E85"/>
    <w:rsid w:val="008F70FC"/>
    <w:rsid w:val="00900FB2"/>
    <w:rsid w:val="009015EF"/>
    <w:rsid w:val="00901DB7"/>
    <w:rsid w:val="00904499"/>
    <w:rsid w:val="00904AA6"/>
    <w:rsid w:val="00905D01"/>
    <w:rsid w:val="00906B25"/>
    <w:rsid w:val="00906EE0"/>
    <w:rsid w:val="00912E3B"/>
    <w:rsid w:val="00916987"/>
    <w:rsid w:val="00916E16"/>
    <w:rsid w:val="009209D2"/>
    <w:rsid w:val="009235DA"/>
    <w:rsid w:val="00927377"/>
    <w:rsid w:val="00930118"/>
    <w:rsid w:val="009313F0"/>
    <w:rsid w:val="009325CD"/>
    <w:rsid w:val="00935232"/>
    <w:rsid w:val="009357B9"/>
    <w:rsid w:val="00937D34"/>
    <w:rsid w:val="00941FC0"/>
    <w:rsid w:val="009462EB"/>
    <w:rsid w:val="009501A5"/>
    <w:rsid w:val="0095029E"/>
    <w:rsid w:val="00951CB7"/>
    <w:rsid w:val="009606F2"/>
    <w:rsid w:val="00961CEF"/>
    <w:rsid w:val="00962975"/>
    <w:rsid w:val="00963A5D"/>
    <w:rsid w:val="0096412A"/>
    <w:rsid w:val="009647E8"/>
    <w:rsid w:val="009649A5"/>
    <w:rsid w:val="009666EA"/>
    <w:rsid w:val="00970A22"/>
    <w:rsid w:val="00971AA2"/>
    <w:rsid w:val="00973D4B"/>
    <w:rsid w:val="00981AB2"/>
    <w:rsid w:val="00981C49"/>
    <w:rsid w:val="009835B6"/>
    <w:rsid w:val="0098598E"/>
    <w:rsid w:val="0099104D"/>
    <w:rsid w:val="00992A0D"/>
    <w:rsid w:val="009960BD"/>
    <w:rsid w:val="009A2102"/>
    <w:rsid w:val="009A2379"/>
    <w:rsid w:val="009A270A"/>
    <w:rsid w:val="009A2769"/>
    <w:rsid w:val="009A2912"/>
    <w:rsid w:val="009A376E"/>
    <w:rsid w:val="009A6905"/>
    <w:rsid w:val="009B0D30"/>
    <w:rsid w:val="009B2C76"/>
    <w:rsid w:val="009B47BE"/>
    <w:rsid w:val="009B4AAA"/>
    <w:rsid w:val="009C00B4"/>
    <w:rsid w:val="009C1E60"/>
    <w:rsid w:val="009C260F"/>
    <w:rsid w:val="009C2B05"/>
    <w:rsid w:val="009C44F2"/>
    <w:rsid w:val="009C5FA5"/>
    <w:rsid w:val="009C62C2"/>
    <w:rsid w:val="009C65DB"/>
    <w:rsid w:val="009C6DB3"/>
    <w:rsid w:val="009D085C"/>
    <w:rsid w:val="009D3960"/>
    <w:rsid w:val="009D5073"/>
    <w:rsid w:val="009D558F"/>
    <w:rsid w:val="009D6C42"/>
    <w:rsid w:val="009D76F6"/>
    <w:rsid w:val="009D7ECB"/>
    <w:rsid w:val="009E1273"/>
    <w:rsid w:val="009E25F3"/>
    <w:rsid w:val="009E2A30"/>
    <w:rsid w:val="009E2B98"/>
    <w:rsid w:val="009E2D5F"/>
    <w:rsid w:val="009E33FD"/>
    <w:rsid w:val="009F390E"/>
    <w:rsid w:val="009F481A"/>
    <w:rsid w:val="009F491F"/>
    <w:rsid w:val="009F5BBC"/>
    <w:rsid w:val="009F6C56"/>
    <w:rsid w:val="00A005C1"/>
    <w:rsid w:val="00A044A5"/>
    <w:rsid w:val="00A062B5"/>
    <w:rsid w:val="00A06A12"/>
    <w:rsid w:val="00A1045F"/>
    <w:rsid w:val="00A1184C"/>
    <w:rsid w:val="00A12970"/>
    <w:rsid w:val="00A13ECB"/>
    <w:rsid w:val="00A140A1"/>
    <w:rsid w:val="00A14A4A"/>
    <w:rsid w:val="00A16E4A"/>
    <w:rsid w:val="00A20293"/>
    <w:rsid w:val="00A21B17"/>
    <w:rsid w:val="00A22E72"/>
    <w:rsid w:val="00A26193"/>
    <w:rsid w:val="00A3120C"/>
    <w:rsid w:val="00A314A5"/>
    <w:rsid w:val="00A31C8C"/>
    <w:rsid w:val="00A337AF"/>
    <w:rsid w:val="00A41C16"/>
    <w:rsid w:val="00A4252F"/>
    <w:rsid w:val="00A43E5B"/>
    <w:rsid w:val="00A4492E"/>
    <w:rsid w:val="00A4524C"/>
    <w:rsid w:val="00A45CD1"/>
    <w:rsid w:val="00A51B03"/>
    <w:rsid w:val="00A51BDE"/>
    <w:rsid w:val="00A53530"/>
    <w:rsid w:val="00A5669E"/>
    <w:rsid w:val="00A57106"/>
    <w:rsid w:val="00A60435"/>
    <w:rsid w:val="00A61617"/>
    <w:rsid w:val="00A63925"/>
    <w:rsid w:val="00A63EC2"/>
    <w:rsid w:val="00A70DDB"/>
    <w:rsid w:val="00A7144E"/>
    <w:rsid w:val="00A72C00"/>
    <w:rsid w:val="00A73C9D"/>
    <w:rsid w:val="00A767FF"/>
    <w:rsid w:val="00A769D3"/>
    <w:rsid w:val="00A82845"/>
    <w:rsid w:val="00A839D1"/>
    <w:rsid w:val="00A85F9C"/>
    <w:rsid w:val="00A86330"/>
    <w:rsid w:val="00A86999"/>
    <w:rsid w:val="00A90599"/>
    <w:rsid w:val="00A9167C"/>
    <w:rsid w:val="00AA246F"/>
    <w:rsid w:val="00AA2866"/>
    <w:rsid w:val="00AA2A90"/>
    <w:rsid w:val="00AA4BD2"/>
    <w:rsid w:val="00AA664D"/>
    <w:rsid w:val="00AB0BBE"/>
    <w:rsid w:val="00AB1E43"/>
    <w:rsid w:val="00AB1E6F"/>
    <w:rsid w:val="00AB43A7"/>
    <w:rsid w:val="00AB44AD"/>
    <w:rsid w:val="00AB5F14"/>
    <w:rsid w:val="00AB70E0"/>
    <w:rsid w:val="00AB751F"/>
    <w:rsid w:val="00AC05F9"/>
    <w:rsid w:val="00AC0D38"/>
    <w:rsid w:val="00AC2232"/>
    <w:rsid w:val="00AC3BE8"/>
    <w:rsid w:val="00AC3F30"/>
    <w:rsid w:val="00AD03F1"/>
    <w:rsid w:val="00AD13A1"/>
    <w:rsid w:val="00AD16CF"/>
    <w:rsid w:val="00AD2CDE"/>
    <w:rsid w:val="00AD49B2"/>
    <w:rsid w:val="00AD4F37"/>
    <w:rsid w:val="00AD5688"/>
    <w:rsid w:val="00AD5E0C"/>
    <w:rsid w:val="00AD69B9"/>
    <w:rsid w:val="00AE040F"/>
    <w:rsid w:val="00AE0617"/>
    <w:rsid w:val="00AE1785"/>
    <w:rsid w:val="00AE385E"/>
    <w:rsid w:val="00AE6E0C"/>
    <w:rsid w:val="00AE7343"/>
    <w:rsid w:val="00AE7E5F"/>
    <w:rsid w:val="00AF0BB1"/>
    <w:rsid w:val="00AF201C"/>
    <w:rsid w:val="00AF35AC"/>
    <w:rsid w:val="00AF3DFF"/>
    <w:rsid w:val="00AF400D"/>
    <w:rsid w:val="00AF5F84"/>
    <w:rsid w:val="00B012B5"/>
    <w:rsid w:val="00B03B6E"/>
    <w:rsid w:val="00B041B3"/>
    <w:rsid w:val="00B04FC9"/>
    <w:rsid w:val="00B07CFC"/>
    <w:rsid w:val="00B12763"/>
    <w:rsid w:val="00B12DBC"/>
    <w:rsid w:val="00B13F4C"/>
    <w:rsid w:val="00B16451"/>
    <w:rsid w:val="00B208BA"/>
    <w:rsid w:val="00B22B58"/>
    <w:rsid w:val="00B23416"/>
    <w:rsid w:val="00B24B44"/>
    <w:rsid w:val="00B2548E"/>
    <w:rsid w:val="00B30803"/>
    <w:rsid w:val="00B31C19"/>
    <w:rsid w:val="00B347B2"/>
    <w:rsid w:val="00B34F46"/>
    <w:rsid w:val="00B36C5C"/>
    <w:rsid w:val="00B37478"/>
    <w:rsid w:val="00B428F2"/>
    <w:rsid w:val="00B435FB"/>
    <w:rsid w:val="00B45E8F"/>
    <w:rsid w:val="00B46CB3"/>
    <w:rsid w:val="00B51453"/>
    <w:rsid w:val="00B51554"/>
    <w:rsid w:val="00B51739"/>
    <w:rsid w:val="00B53061"/>
    <w:rsid w:val="00B55C18"/>
    <w:rsid w:val="00B56258"/>
    <w:rsid w:val="00B56B96"/>
    <w:rsid w:val="00B57A60"/>
    <w:rsid w:val="00B64054"/>
    <w:rsid w:val="00B65A74"/>
    <w:rsid w:val="00B65DBF"/>
    <w:rsid w:val="00B7060E"/>
    <w:rsid w:val="00B70F8B"/>
    <w:rsid w:val="00B71578"/>
    <w:rsid w:val="00B720DF"/>
    <w:rsid w:val="00B7386A"/>
    <w:rsid w:val="00B74502"/>
    <w:rsid w:val="00B74B0C"/>
    <w:rsid w:val="00B7588E"/>
    <w:rsid w:val="00B76EB7"/>
    <w:rsid w:val="00B771F9"/>
    <w:rsid w:val="00B80736"/>
    <w:rsid w:val="00B81902"/>
    <w:rsid w:val="00B92EB2"/>
    <w:rsid w:val="00B96129"/>
    <w:rsid w:val="00B97308"/>
    <w:rsid w:val="00BA3508"/>
    <w:rsid w:val="00BA4274"/>
    <w:rsid w:val="00BA4B7B"/>
    <w:rsid w:val="00BA56C2"/>
    <w:rsid w:val="00BB1214"/>
    <w:rsid w:val="00BB1CA6"/>
    <w:rsid w:val="00BB41C8"/>
    <w:rsid w:val="00BB5A19"/>
    <w:rsid w:val="00BB7FAA"/>
    <w:rsid w:val="00BC0CC3"/>
    <w:rsid w:val="00BC1FD4"/>
    <w:rsid w:val="00BC3874"/>
    <w:rsid w:val="00BC6CD4"/>
    <w:rsid w:val="00BC7BC3"/>
    <w:rsid w:val="00BD0960"/>
    <w:rsid w:val="00BD3F6A"/>
    <w:rsid w:val="00BD4BED"/>
    <w:rsid w:val="00BD5610"/>
    <w:rsid w:val="00BD56DB"/>
    <w:rsid w:val="00BD7BB6"/>
    <w:rsid w:val="00BE40B8"/>
    <w:rsid w:val="00BF130A"/>
    <w:rsid w:val="00BF185F"/>
    <w:rsid w:val="00BF2C83"/>
    <w:rsid w:val="00BF40F9"/>
    <w:rsid w:val="00BF5FB2"/>
    <w:rsid w:val="00BF7E9A"/>
    <w:rsid w:val="00C003B4"/>
    <w:rsid w:val="00C0064D"/>
    <w:rsid w:val="00C00D7C"/>
    <w:rsid w:val="00C0231B"/>
    <w:rsid w:val="00C103D4"/>
    <w:rsid w:val="00C10771"/>
    <w:rsid w:val="00C1162E"/>
    <w:rsid w:val="00C13466"/>
    <w:rsid w:val="00C134F4"/>
    <w:rsid w:val="00C14370"/>
    <w:rsid w:val="00C148C0"/>
    <w:rsid w:val="00C14E6E"/>
    <w:rsid w:val="00C16B38"/>
    <w:rsid w:val="00C22980"/>
    <w:rsid w:val="00C23B0F"/>
    <w:rsid w:val="00C261EA"/>
    <w:rsid w:val="00C3671A"/>
    <w:rsid w:val="00C36875"/>
    <w:rsid w:val="00C4146A"/>
    <w:rsid w:val="00C425B0"/>
    <w:rsid w:val="00C42F30"/>
    <w:rsid w:val="00C46925"/>
    <w:rsid w:val="00C46CD6"/>
    <w:rsid w:val="00C54773"/>
    <w:rsid w:val="00C558CC"/>
    <w:rsid w:val="00C55FAC"/>
    <w:rsid w:val="00C56AA5"/>
    <w:rsid w:val="00C56C38"/>
    <w:rsid w:val="00C6161E"/>
    <w:rsid w:val="00C63337"/>
    <w:rsid w:val="00C63986"/>
    <w:rsid w:val="00C64B31"/>
    <w:rsid w:val="00C675E4"/>
    <w:rsid w:val="00C67D60"/>
    <w:rsid w:val="00C70515"/>
    <w:rsid w:val="00C804F7"/>
    <w:rsid w:val="00C81058"/>
    <w:rsid w:val="00C82B0E"/>
    <w:rsid w:val="00C84D6D"/>
    <w:rsid w:val="00C85B97"/>
    <w:rsid w:val="00C85E5E"/>
    <w:rsid w:val="00C86F1B"/>
    <w:rsid w:val="00C9096D"/>
    <w:rsid w:val="00C91BC1"/>
    <w:rsid w:val="00C93767"/>
    <w:rsid w:val="00C93D36"/>
    <w:rsid w:val="00C95930"/>
    <w:rsid w:val="00C9634D"/>
    <w:rsid w:val="00C96E7C"/>
    <w:rsid w:val="00C97D17"/>
    <w:rsid w:val="00CA069C"/>
    <w:rsid w:val="00CA1A4C"/>
    <w:rsid w:val="00CA2A8C"/>
    <w:rsid w:val="00CA3A76"/>
    <w:rsid w:val="00CA449E"/>
    <w:rsid w:val="00CB25CD"/>
    <w:rsid w:val="00CB38D7"/>
    <w:rsid w:val="00CB6600"/>
    <w:rsid w:val="00CB7762"/>
    <w:rsid w:val="00CC30E1"/>
    <w:rsid w:val="00CC3303"/>
    <w:rsid w:val="00CC423B"/>
    <w:rsid w:val="00CC56AF"/>
    <w:rsid w:val="00CD225E"/>
    <w:rsid w:val="00CD3768"/>
    <w:rsid w:val="00CD5D9B"/>
    <w:rsid w:val="00CD756F"/>
    <w:rsid w:val="00CE08D4"/>
    <w:rsid w:val="00CE299E"/>
    <w:rsid w:val="00CE3B6F"/>
    <w:rsid w:val="00CF494E"/>
    <w:rsid w:val="00D016D5"/>
    <w:rsid w:val="00D02743"/>
    <w:rsid w:val="00D0448D"/>
    <w:rsid w:val="00D10242"/>
    <w:rsid w:val="00D11C98"/>
    <w:rsid w:val="00D12B3D"/>
    <w:rsid w:val="00D13E9D"/>
    <w:rsid w:val="00D148F7"/>
    <w:rsid w:val="00D15552"/>
    <w:rsid w:val="00D15FA8"/>
    <w:rsid w:val="00D165E8"/>
    <w:rsid w:val="00D17C6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1B74"/>
    <w:rsid w:val="00D5236E"/>
    <w:rsid w:val="00D532E1"/>
    <w:rsid w:val="00D55A52"/>
    <w:rsid w:val="00D5633E"/>
    <w:rsid w:val="00D5795F"/>
    <w:rsid w:val="00D617EB"/>
    <w:rsid w:val="00D61D14"/>
    <w:rsid w:val="00D64133"/>
    <w:rsid w:val="00D65F8D"/>
    <w:rsid w:val="00D71A37"/>
    <w:rsid w:val="00D71C81"/>
    <w:rsid w:val="00D7394A"/>
    <w:rsid w:val="00D7641E"/>
    <w:rsid w:val="00D816AA"/>
    <w:rsid w:val="00D83BDC"/>
    <w:rsid w:val="00D851A1"/>
    <w:rsid w:val="00D8597C"/>
    <w:rsid w:val="00D92EF6"/>
    <w:rsid w:val="00D95708"/>
    <w:rsid w:val="00D96A6E"/>
    <w:rsid w:val="00DA3130"/>
    <w:rsid w:val="00DA58E4"/>
    <w:rsid w:val="00DB06D2"/>
    <w:rsid w:val="00DB0E66"/>
    <w:rsid w:val="00DB2655"/>
    <w:rsid w:val="00DB2B03"/>
    <w:rsid w:val="00DB495E"/>
    <w:rsid w:val="00DB4F16"/>
    <w:rsid w:val="00DC2653"/>
    <w:rsid w:val="00DC4C2A"/>
    <w:rsid w:val="00DC6996"/>
    <w:rsid w:val="00DC6C13"/>
    <w:rsid w:val="00DC7E9F"/>
    <w:rsid w:val="00DD0B99"/>
    <w:rsid w:val="00DD195C"/>
    <w:rsid w:val="00DD40E9"/>
    <w:rsid w:val="00DD426E"/>
    <w:rsid w:val="00DD600D"/>
    <w:rsid w:val="00DD6E72"/>
    <w:rsid w:val="00DD7797"/>
    <w:rsid w:val="00DE2FA0"/>
    <w:rsid w:val="00DE6465"/>
    <w:rsid w:val="00DE6711"/>
    <w:rsid w:val="00DF3105"/>
    <w:rsid w:val="00DF3DE4"/>
    <w:rsid w:val="00DF3E87"/>
    <w:rsid w:val="00DF756F"/>
    <w:rsid w:val="00E0036C"/>
    <w:rsid w:val="00E00B2E"/>
    <w:rsid w:val="00E023DF"/>
    <w:rsid w:val="00E05508"/>
    <w:rsid w:val="00E0551F"/>
    <w:rsid w:val="00E05E14"/>
    <w:rsid w:val="00E1428C"/>
    <w:rsid w:val="00E14366"/>
    <w:rsid w:val="00E1739C"/>
    <w:rsid w:val="00E24F24"/>
    <w:rsid w:val="00E32272"/>
    <w:rsid w:val="00E32B08"/>
    <w:rsid w:val="00E3344C"/>
    <w:rsid w:val="00E35707"/>
    <w:rsid w:val="00E35DD8"/>
    <w:rsid w:val="00E37623"/>
    <w:rsid w:val="00E422F7"/>
    <w:rsid w:val="00E433EB"/>
    <w:rsid w:val="00E477EF"/>
    <w:rsid w:val="00E5194C"/>
    <w:rsid w:val="00E51B45"/>
    <w:rsid w:val="00E55B5E"/>
    <w:rsid w:val="00E56B57"/>
    <w:rsid w:val="00E57385"/>
    <w:rsid w:val="00E60384"/>
    <w:rsid w:val="00E60777"/>
    <w:rsid w:val="00E62DA0"/>
    <w:rsid w:val="00E64C57"/>
    <w:rsid w:val="00E65CB1"/>
    <w:rsid w:val="00E66F14"/>
    <w:rsid w:val="00E7103C"/>
    <w:rsid w:val="00E71AF5"/>
    <w:rsid w:val="00E72DEE"/>
    <w:rsid w:val="00E73AB1"/>
    <w:rsid w:val="00E73C3B"/>
    <w:rsid w:val="00E74758"/>
    <w:rsid w:val="00E74A45"/>
    <w:rsid w:val="00E74F32"/>
    <w:rsid w:val="00E82529"/>
    <w:rsid w:val="00E83270"/>
    <w:rsid w:val="00E839E0"/>
    <w:rsid w:val="00E846EF"/>
    <w:rsid w:val="00E849D1"/>
    <w:rsid w:val="00E84B4C"/>
    <w:rsid w:val="00E86621"/>
    <w:rsid w:val="00E93AC5"/>
    <w:rsid w:val="00E94579"/>
    <w:rsid w:val="00E9459D"/>
    <w:rsid w:val="00E96448"/>
    <w:rsid w:val="00E967EF"/>
    <w:rsid w:val="00E96FDF"/>
    <w:rsid w:val="00E97110"/>
    <w:rsid w:val="00E9798C"/>
    <w:rsid w:val="00EA0B57"/>
    <w:rsid w:val="00EA1035"/>
    <w:rsid w:val="00EA1F98"/>
    <w:rsid w:val="00EA3C4B"/>
    <w:rsid w:val="00EA5D83"/>
    <w:rsid w:val="00EB1DC5"/>
    <w:rsid w:val="00EB1F25"/>
    <w:rsid w:val="00EB340B"/>
    <w:rsid w:val="00EB41D1"/>
    <w:rsid w:val="00EB4ED8"/>
    <w:rsid w:val="00EB54DF"/>
    <w:rsid w:val="00EB5C12"/>
    <w:rsid w:val="00EC014B"/>
    <w:rsid w:val="00EC20A8"/>
    <w:rsid w:val="00EC4DA7"/>
    <w:rsid w:val="00EC5B1A"/>
    <w:rsid w:val="00EC6112"/>
    <w:rsid w:val="00EC7446"/>
    <w:rsid w:val="00ED1774"/>
    <w:rsid w:val="00ED2EED"/>
    <w:rsid w:val="00ED361D"/>
    <w:rsid w:val="00ED3C83"/>
    <w:rsid w:val="00ED51F7"/>
    <w:rsid w:val="00ED5BE9"/>
    <w:rsid w:val="00ED6978"/>
    <w:rsid w:val="00ED7A88"/>
    <w:rsid w:val="00EE0752"/>
    <w:rsid w:val="00EE0BE9"/>
    <w:rsid w:val="00EE2198"/>
    <w:rsid w:val="00EE3A0B"/>
    <w:rsid w:val="00EE5ADB"/>
    <w:rsid w:val="00EE627E"/>
    <w:rsid w:val="00EF0F24"/>
    <w:rsid w:val="00EF17C7"/>
    <w:rsid w:val="00EF2803"/>
    <w:rsid w:val="00EF32E8"/>
    <w:rsid w:val="00EF3C12"/>
    <w:rsid w:val="00EF6658"/>
    <w:rsid w:val="00F00CF3"/>
    <w:rsid w:val="00F01411"/>
    <w:rsid w:val="00F01B5D"/>
    <w:rsid w:val="00F06553"/>
    <w:rsid w:val="00F11E42"/>
    <w:rsid w:val="00F12347"/>
    <w:rsid w:val="00F13525"/>
    <w:rsid w:val="00F14271"/>
    <w:rsid w:val="00F16830"/>
    <w:rsid w:val="00F209DC"/>
    <w:rsid w:val="00F22592"/>
    <w:rsid w:val="00F23ECA"/>
    <w:rsid w:val="00F24DD9"/>
    <w:rsid w:val="00F2528C"/>
    <w:rsid w:val="00F32735"/>
    <w:rsid w:val="00F348A6"/>
    <w:rsid w:val="00F35C73"/>
    <w:rsid w:val="00F36F9F"/>
    <w:rsid w:val="00F424D0"/>
    <w:rsid w:val="00F42EEF"/>
    <w:rsid w:val="00F42EF2"/>
    <w:rsid w:val="00F433FF"/>
    <w:rsid w:val="00F4414C"/>
    <w:rsid w:val="00F442E0"/>
    <w:rsid w:val="00F44F9D"/>
    <w:rsid w:val="00F451A9"/>
    <w:rsid w:val="00F473B3"/>
    <w:rsid w:val="00F50AB2"/>
    <w:rsid w:val="00F51457"/>
    <w:rsid w:val="00F52884"/>
    <w:rsid w:val="00F5291A"/>
    <w:rsid w:val="00F549CF"/>
    <w:rsid w:val="00F56D41"/>
    <w:rsid w:val="00F57D8B"/>
    <w:rsid w:val="00F602FC"/>
    <w:rsid w:val="00F60EAE"/>
    <w:rsid w:val="00F63670"/>
    <w:rsid w:val="00F65276"/>
    <w:rsid w:val="00F721D0"/>
    <w:rsid w:val="00F73718"/>
    <w:rsid w:val="00F73F1B"/>
    <w:rsid w:val="00F742B5"/>
    <w:rsid w:val="00F776EA"/>
    <w:rsid w:val="00F80CE5"/>
    <w:rsid w:val="00F8253D"/>
    <w:rsid w:val="00F82C93"/>
    <w:rsid w:val="00F91B0F"/>
    <w:rsid w:val="00F9388E"/>
    <w:rsid w:val="00F94A0B"/>
    <w:rsid w:val="00F95688"/>
    <w:rsid w:val="00F978EA"/>
    <w:rsid w:val="00FA2083"/>
    <w:rsid w:val="00FA22E2"/>
    <w:rsid w:val="00FA335C"/>
    <w:rsid w:val="00FA5344"/>
    <w:rsid w:val="00FB157B"/>
    <w:rsid w:val="00FB5B08"/>
    <w:rsid w:val="00FC3FDF"/>
    <w:rsid w:val="00FC4282"/>
    <w:rsid w:val="00FC4C5B"/>
    <w:rsid w:val="00FC5E5A"/>
    <w:rsid w:val="00FC64B2"/>
    <w:rsid w:val="00FC688A"/>
    <w:rsid w:val="00FC79ED"/>
    <w:rsid w:val="00FD0A4D"/>
    <w:rsid w:val="00FD2FA0"/>
    <w:rsid w:val="00FD551E"/>
    <w:rsid w:val="00FD5EAB"/>
    <w:rsid w:val="00FE1227"/>
    <w:rsid w:val="00FE21A8"/>
    <w:rsid w:val="00FE3405"/>
    <w:rsid w:val="00FE4859"/>
    <w:rsid w:val="00FE4936"/>
    <w:rsid w:val="00FE5300"/>
    <w:rsid w:val="00FE534E"/>
    <w:rsid w:val="00FE6E46"/>
    <w:rsid w:val="00FE7FAD"/>
    <w:rsid w:val="00FF2809"/>
    <w:rsid w:val="00FF2F4D"/>
    <w:rsid w:val="00FF35AC"/>
    <w:rsid w:val="00FF3F0A"/>
    <w:rsid w:val="00FF7076"/>
    <w:rsid w:val="012873D3"/>
    <w:rsid w:val="01401F5A"/>
    <w:rsid w:val="01C51F26"/>
    <w:rsid w:val="021B6523"/>
    <w:rsid w:val="02861C5D"/>
    <w:rsid w:val="02864E82"/>
    <w:rsid w:val="028E5BF7"/>
    <w:rsid w:val="02A46519"/>
    <w:rsid w:val="02C34EEE"/>
    <w:rsid w:val="02F30FA1"/>
    <w:rsid w:val="030663D5"/>
    <w:rsid w:val="031D75DC"/>
    <w:rsid w:val="034F46D6"/>
    <w:rsid w:val="03784CB1"/>
    <w:rsid w:val="04051239"/>
    <w:rsid w:val="04CC6B4B"/>
    <w:rsid w:val="053E2C54"/>
    <w:rsid w:val="0654321E"/>
    <w:rsid w:val="068C1FDE"/>
    <w:rsid w:val="06B0131B"/>
    <w:rsid w:val="06F91383"/>
    <w:rsid w:val="079A247E"/>
    <w:rsid w:val="079B2882"/>
    <w:rsid w:val="07B71116"/>
    <w:rsid w:val="07F27FE4"/>
    <w:rsid w:val="08405380"/>
    <w:rsid w:val="08980A8D"/>
    <w:rsid w:val="08A07782"/>
    <w:rsid w:val="09572537"/>
    <w:rsid w:val="09694699"/>
    <w:rsid w:val="09992B4F"/>
    <w:rsid w:val="09E8138B"/>
    <w:rsid w:val="0A6071C9"/>
    <w:rsid w:val="0AA572D2"/>
    <w:rsid w:val="0AD03B89"/>
    <w:rsid w:val="0AF60B0D"/>
    <w:rsid w:val="0B067BB8"/>
    <w:rsid w:val="0B7D7ECD"/>
    <w:rsid w:val="0B896BF3"/>
    <w:rsid w:val="0B8B296C"/>
    <w:rsid w:val="0B8F7378"/>
    <w:rsid w:val="0B9818EB"/>
    <w:rsid w:val="0BA5348D"/>
    <w:rsid w:val="0BC31006"/>
    <w:rsid w:val="0C26412E"/>
    <w:rsid w:val="0C9B41C4"/>
    <w:rsid w:val="0CF757AC"/>
    <w:rsid w:val="0D2C751C"/>
    <w:rsid w:val="0D57008A"/>
    <w:rsid w:val="0D7D135A"/>
    <w:rsid w:val="0D9E4C87"/>
    <w:rsid w:val="0DA56F93"/>
    <w:rsid w:val="0DB52476"/>
    <w:rsid w:val="0DCE1A94"/>
    <w:rsid w:val="0DDC0C86"/>
    <w:rsid w:val="0E7E1C83"/>
    <w:rsid w:val="0E7E5E5F"/>
    <w:rsid w:val="0F603F8D"/>
    <w:rsid w:val="1049527D"/>
    <w:rsid w:val="106A2B50"/>
    <w:rsid w:val="10B34976"/>
    <w:rsid w:val="110F725F"/>
    <w:rsid w:val="11163121"/>
    <w:rsid w:val="11285B62"/>
    <w:rsid w:val="11380EA0"/>
    <w:rsid w:val="11B30526"/>
    <w:rsid w:val="12214824"/>
    <w:rsid w:val="12315DC0"/>
    <w:rsid w:val="12362D47"/>
    <w:rsid w:val="124F183D"/>
    <w:rsid w:val="12942106"/>
    <w:rsid w:val="12DD0C75"/>
    <w:rsid w:val="12FA67BA"/>
    <w:rsid w:val="13304B67"/>
    <w:rsid w:val="134566BC"/>
    <w:rsid w:val="135774FE"/>
    <w:rsid w:val="13A46379"/>
    <w:rsid w:val="13AD66FE"/>
    <w:rsid w:val="13F310AE"/>
    <w:rsid w:val="13FA243C"/>
    <w:rsid w:val="142011A6"/>
    <w:rsid w:val="14564609"/>
    <w:rsid w:val="14583120"/>
    <w:rsid w:val="15215C70"/>
    <w:rsid w:val="15495F87"/>
    <w:rsid w:val="1574342C"/>
    <w:rsid w:val="15965C16"/>
    <w:rsid w:val="15A444A6"/>
    <w:rsid w:val="15C658E8"/>
    <w:rsid w:val="16277A0B"/>
    <w:rsid w:val="16852D6C"/>
    <w:rsid w:val="16884649"/>
    <w:rsid w:val="16C94348"/>
    <w:rsid w:val="17517F11"/>
    <w:rsid w:val="17B24919"/>
    <w:rsid w:val="17B4163D"/>
    <w:rsid w:val="17F94FFE"/>
    <w:rsid w:val="1813218C"/>
    <w:rsid w:val="182F467F"/>
    <w:rsid w:val="185B7983"/>
    <w:rsid w:val="18AF29F3"/>
    <w:rsid w:val="18DC65B5"/>
    <w:rsid w:val="190805F5"/>
    <w:rsid w:val="19660714"/>
    <w:rsid w:val="197C2955"/>
    <w:rsid w:val="19E82C89"/>
    <w:rsid w:val="1A370CDA"/>
    <w:rsid w:val="1A4268EB"/>
    <w:rsid w:val="1A444411"/>
    <w:rsid w:val="1A5279E9"/>
    <w:rsid w:val="1AD43112"/>
    <w:rsid w:val="1B925650"/>
    <w:rsid w:val="1C8B1F64"/>
    <w:rsid w:val="1CD25790"/>
    <w:rsid w:val="1D3544E5"/>
    <w:rsid w:val="1D787557"/>
    <w:rsid w:val="1E036392"/>
    <w:rsid w:val="1E097B16"/>
    <w:rsid w:val="1E53284B"/>
    <w:rsid w:val="1E5F512D"/>
    <w:rsid w:val="1E892E63"/>
    <w:rsid w:val="1EE70F94"/>
    <w:rsid w:val="1F4F3A29"/>
    <w:rsid w:val="1F9B16E8"/>
    <w:rsid w:val="20085EE1"/>
    <w:rsid w:val="20255070"/>
    <w:rsid w:val="202B6819"/>
    <w:rsid w:val="20EE6FC1"/>
    <w:rsid w:val="20EF1D98"/>
    <w:rsid w:val="21606878"/>
    <w:rsid w:val="2193780B"/>
    <w:rsid w:val="219C0FD7"/>
    <w:rsid w:val="21FA130C"/>
    <w:rsid w:val="22027AEB"/>
    <w:rsid w:val="2235090D"/>
    <w:rsid w:val="22547340"/>
    <w:rsid w:val="226570FE"/>
    <w:rsid w:val="230A5C39"/>
    <w:rsid w:val="23545E69"/>
    <w:rsid w:val="23A42D0F"/>
    <w:rsid w:val="23A60FED"/>
    <w:rsid w:val="24062928"/>
    <w:rsid w:val="244217C3"/>
    <w:rsid w:val="24446463"/>
    <w:rsid w:val="24462A2D"/>
    <w:rsid w:val="246B6A3F"/>
    <w:rsid w:val="24AF1021"/>
    <w:rsid w:val="255E9A8F"/>
    <w:rsid w:val="25761FE8"/>
    <w:rsid w:val="25A55F80"/>
    <w:rsid w:val="26B36D0C"/>
    <w:rsid w:val="26C70FC3"/>
    <w:rsid w:val="272F3A51"/>
    <w:rsid w:val="27333F23"/>
    <w:rsid w:val="27E17743"/>
    <w:rsid w:val="27F00097"/>
    <w:rsid w:val="280803EC"/>
    <w:rsid w:val="281C69CE"/>
    <w:rsid w:val="282E0237"/>
    <w:rsid w:val="284B7776"/>
    <w:rsid w:val="28643197"/>
    <w:rsid w:val="28B44E58"/>
    <w:rsid w:val="28C01D17"/>
    <w:rsid w:val="28C661CF"/>
    <w:rsid w:val="29362D86"/>
    <w:rsid w:val="293E0BC6"/>
    <w:rsid w:val="29A11347"/>
    <w:rsid w:val="2A27165A"/>
    <w:rsid w:val="2A4E3D69"/>
    <w:rsid w:val="2A6B3DB1"/>
    <w:rsid w:val="2B0352FB"/>
    <w:rsid w:val="2B5F21E3"/>
    <w:rsid w:val="2B987F6F"/>
    <w:rsid w:val="2BAD5B8F"/>
    <w:rsid w:val="2BAE36BF"/>
    <w:rsid w:val="2BCB3F2A"/>
    <w:rsid w:val="2C102611"/>
    <w:rsid w:val="2C29369E"/>
    <w:rsid w:val="2C35294C"/>
    <w:rsid w:val="2CF27CFD"/>
    <w:rsid w:val="2D5914BC"/>
    <w:rsid w:val="2D821071"/>
    <w:rsid w:val="2DC14C40"/>
    <w:rsid w:val="2DCD2FDA"/>
    <w:rsid w:val="2DD81DDD"/>
    <w:rsid w:val="2E057444"/>
    <w:rsid w:val="2E216B3B"/>
    <w:rsid w:val="2E4A46A0"/>
    <w:rsid w:val="2E513149"/>
    <w:rsid w:val="2E7D5CEC"/>
    <w:rsid w:val="2EB07E70"/>
    <w:rsid w:val="2EB23ECC"/>
    <w:rsid w:val="2EF72DA2"/>
    <w:rsid w:val="2F0267D5"/>
    <w:rsid w:val="2F3515C3"/>
    <w:rsid w:val="2F391C13"/>
    <w:rsid w:val="2F3F38D4"/>
    <w:rsid w:val="2F5C54B8"/>
    <w:rsid w:val="2F7970D7"/>
    <w:rsid w:val="301339CC"/>
    <w:rsid w:val="3083145F"/>
    <w:rsid w:val="30E958BB"/>
    <w:rsid w:val="31320866"/>
    <w:rsid w:val="313B43AB"/>
    <w:rsid w:val="317407C0"/>
    <w:rsid w:val="31AB7E01"/>
    <w:rsid w:val="329524D6"/>
    <w:rsid w:val="32B3311C"/>
    <w:rsid w:val="3312555B"/>
    <w:rsid w:val="33274478"/>
    <w:rsid w:val="334212B2"/>
    <w:rsid w:val="334502B8"/>
    <w:rsid w:val="3384079C"/>
    <w:rsid w:val="33AA6EA7"/>
    <w:rsid w:val="33E54C86"/>
    <w:rsid w:val="342F6C69"/>
    <w:rsid w:val="34A00986"/>
    <w:rsid w:val="34FF1114"/>
    <w:rsid w:val="352B144B"/>
    <w:rsid w:val="35386E11"/>
    <w:rsid w:val="35BD291C"/>
    <w:rsid w:val="36BE3D73"/>
    <w:rsid w:val="36E44AE2"/>
    <w:rsid w:val="374D350D"/>
    <w:rsid w:val="37741972"/>
    <w:rsid w:val="377443BF"/>
    <w:rsid w:val="380A6843"/>
    <w:rsid w:val="38BD73CD"/>
    <w:rsid w:val="39243934"/>
    <w:rsid w:val="39535BFE"/>
    <w:rsid w:val="398B7F95"/>
    <w:rsid w:val="39A96F72"/>
    <w:rsid w:val="39B5458C"/>
    <w:rsid w:val="39CE38A0"/>
    <w:rsid w:val="3A1C4963"/>
    <w:rsid w:val="3A5570FB"/>
    <w:rsid w:val="3A563FC1"/>
    <w:rsid w:val="3A97759B"/>
    <w:rsid w:val="3A990BD3"/>
    <w:rsid w:val="3AC86541"/>
    <w:rsid w:val="3B3D12B2"/>
    <w:rsid w:val="3B4E2FFF"/>
    <w:rsid w:val="3B6049CB"/>
    <w:rsid w:val="3BAC29ED"/>
    <w:rsid w:val="3BB367AF"/>
    <w:rsid w:val="3BD03227"/>
    <w:rsid w:val="3C024B7D"/>
    <w:rsid w:val="3C7F4EBC"/>
    <w:rsid w:val="3C862210"/>
    <w:rsid w:val="3D205A10"/>
    <w:rsid w:val="3D5671AA"/>
    <w:rsid w:val="3D8E2068"/>
    <w:rsid w:val="3DFF4595"/>
    <w:rsid w:val="3E1D7CAF"/>
    <w:rsid w:val="3E7E66A3"/>
    <w:rsid w:val="3EAD286A"/>
    <w:rsid w:val="3EB777B1"/>
    <w:rsid w:val="3F676329"/>
    <w:rsid w:val="3F676452"/>
    <w:rsid w:val="3FE756BB"/>
    <w:rsid w:val="408D1166"/>
    <w:rsid w:val="40972C3D"/>
    <w:rsid w:val="40B777E0"/>
    <w:rsid w:val="40C96B6F"/>
    <w:rsid w:val="40E26775"/>
    <w:rsid w:val="40FF1D3F"/>
    <w:rsid w:val="41445C3F"/>
    <w:rsid w:val="41655958"/>
    <w:rsid w:val="418954B3"/>
    <w:rsid w:val="4194717D"/>
    <w:rsid w:val="41FF0A9A"/>
    <w:rsid w:val="42661790"/>
    <w:rsid w:val="42E163F2"/>
    <w:rsid w:val="43087E22"/>
    <w:rsid w:val="4315749D"/>
    <w:rsid w:val="435528D9"/>
    <w:rsid w:val="4357078B"/>
    <w:rsid w:val="4379029A"/>
    <w:rsid w:val="43A46303"/>
    <w:rsid w:val="43A7763B"/>
    <w:rsid w:val="43AC108E"/>
    <w:rsid w:val="43CA2CF3"/>
    <w:rsid w:val="440A1978"/>
    <w:rsid w:val="441962C2"/>
    <w:rsid w:val="442473B1"/>
    <w:rsid w:val="4440689F"/>
    <w:rsid w:val="447E0969"/>
    <w:rsid w:val="45647867"/>
    <w:rsid w:val="4582210E"/>
    <w:rsid w:val="45C86CE6"/>
    <w:rsid w:val="45F14B9E"/>
    <w:rsid w:val="45FA5F64"/>
    <w:rsid w:val="460743C1"/>
    <w:rsid w:val="46144D30"/>
    <w:rsid w:val="467F21AA"/>
    <w:rsid w:val="46BF4C9C"/>
    <w:rsid w:val="47883ED1"/>
    <w:rsid w:val="47C8599C"/>
    <w:rsid w:val="47D6229D"/>
    <w:rsid w:val="47FE7A46"/>
    <w:rsid w:val="48374FFD"/>
    <w:rsid w:val="487E1EBD"/>
    <w:rsid w:val="49602681"/>
    <w:rsid w:val="497C0C22"/>
    <w:rsid w:val="49BF2FBD"/>
    <w:rsid w:val="4AB80DFE"/>
    <w:rsid w:val="4AFA3073"/>
    <w:rsid w:val="4B477F40"/>
    <w:rsid w:val="4BE66A88"/>
    <w:rsid w:val="4C1F5F2B"/>
    <w:rsid w:val="4C46012D"/>
    <w:rsid w:val="4CB532A8"/>
    <w:rsid w:val="4CD174D7"/>
    <w:rsid w:val="4D4B48F3"/>
    <w:rsid w:val="4DF27B79"/>
    <w:rsid w:val="4E030C2F"/>
    <w:rsid w:val="4E1729CD"/>
    <w:rsid w:val="4E296E9F"/>
    <w:rsid w:val="4EE942B4"/>
    <w:rsid w:val="4F0227BF"/>
    <w:rsid w:val="4F260919"/>
    <w:rsid w:val="4F31106F"/>
    <w:rsid w:val="4F55619D"/>
    <w:rsid w:val="4F633558"/>
    <w:rsid w:val="4F8E1D24"/>
    <w:rsid w:val="50266D04"/>
    <w:rsid w:val="504B70A9"/>
    <w:rsid w:val="50504182"/>
    <w:rsid w:val="505C5D66"/>
    <w:rsid w:val="50753163"/>
    <w:rsid w:val="50817137"/>
    <w:rsid w:val="509E5922"/>
    <w:rsid w:val="50C37CBB"/>
    <w:rsid w:val="51410B71"/>
    <w:rsid w:val="51A554F3"/>
    <w:rsid w:val="523D7A9D"/>
    <w:rsid w:val="5279268C"/>
    <w:rsid w:val="52C250C7"/>
    <w:rsid w:val="52CB62CE"/>
    <w:rsid w:val="52E1539C"/>
    <w:rsid w:val="53057786"/>
    <w:rsid w:val="530B344E"/>
    <w:rsid w:val="5314011E"/>
    <w:rsid w:val="53C733E2"/>
    <w:rsid w:val="53FF0DCE"/>
    <w:rsid w:val="54066594"/>
    <w:rsid w:val="544C01DA"/>
    <w:rsid w:val="54826A6F"/>
    <w:rsid w:val="548E6FCC"/>
    <w:rsid w:val="54B41BB8"/>
    <w:rsid w:val="54BC3371"/>
    <w:rsid w:val="55985036"/>
    <w:rsid w:val="55E54A69"/>
    <w:rsid w:val="55F00D79"/>
    <w:rsid w:val="560358E7"/>
    <w:rsid w:val="56682C5A"/>
    <w:rsid w:val="56905D0D"/>
    <w:rsid w:val="5737456A"/>
    <w:rsid w:val="573D3418"/>
    <w:rsid w:val="578C3B2F"/>
    <w:rsid w:val="57CE5A99"/>
    <w:rsid w:val="57E1275E"/>
    <w:rsid w:val="57FD3B20"/>
    <w:rsid w:val="583730A7"/>
    <w:rsid w:val="589D4368"/>
    <w:rsid w:val="58CB74D0"/>
    <w:rsid w:val="595F6971"/>
    <w:rsid w:val="597C1F53"/>
    <w:rsid w:val="597F295B"/>
    <w:rsid w:val="598232C0"/>
    <w:rsid w:val="5A170196"/>
    <w:rsid w:val="5A36306F"/>
    <w:rsid w:val="5A6E45B7"/>
    <w:rsid w:val="5A7D0C9E"/>
    <w:rsid w:val="5B0740EA"/>
    <w:rsid w:val="5B247141"/>
    <w:rsid w:val="5B98030E"/>
    <w:rsid w:val="5B9837E7"/>
    <w:rsid w:val="5BA734AB"/>
    <w:rsid w:val="5BB168EF"/>
    <w:rsid w:val="5BEF76E9"/>
    <w:rsid w:val="5C0D2A63"/>
    <w:rsid w:val="5C3D2493"/>
    <w:rsid w:val="5C5D0A1B"/>
    <w:rsid w:val="5C5F065B"/>
    <w:rsid w:val="5CB079DC"/>
    <w:rsid w:val="5CBC096A"/>
    <w:rsid w:val="5CC70097"/>
    <w:rsid w:val="5CE337FB"/>
    <w:rsid w:val="5D301F38"/>
    <w:rsid w:val="5D437F7D"/>
    <w:rsid w:val="5D706898"/>
    <w:rsid w:val="5DCFAE16"/>
    <w:rsid w:val="5EA91689"/>
    <w:rsid w:val="5F0822F6"/>
    <w:rsid w:val="5F1662FE"/>
    <w:rsid w:val="5F3A0F0C"/>
    <w:rsid w:val="5F57386C"/>
    <w:rsid w:val="5FAC7321"/>
    <w:rsid w:val="60134695"/>
    <w:rsid w:val="60464B44"/>
    <w:rsid w:val="60625971"/>
    <w:rsid w:val="60BB3DF4"/>
    <w:rsid w:val="60F670B5"/>
    <w:rsid w:val="61FE0917"/>
    <w:rsid w:val="62375736"/>
    <w:rsid w:val="62B95263"/>
    <w:rsid w:val="63070B25"/>
    <w:rsid w:val="63312CBB"/>
    <w:rsid w:val="634C5B54"/>
    <w:rsid w:val="635F44F0"/>
    <w:rsid w:val="639A641D"/>
    <w:rsid w:val="64CE4547"/>
    <w:rsid w:val="65007790"/>
    <w:rsid w:val="65071890"/>
    <w:rsid w:val="65362175"/>
    <w:rsid w:val="655A4F13"/>
    <w:rsid w:val="65624D19"/>
    <w:rsid w:val="65735178"/>
    <w:rsid w:val="657A7089"/>
    <w:rsid w:val="65B6317D"/>
    <w:rsid w:val="6688682D"/>
    <w:rsid w:val="66AB22D9"/>
    <w:rsid w:val="66D41533"/>
    <w:rsid w:val="66DC6D4D"/>
    <w:rsid w:val="673D49E3"/>
    <w:rsid w:val="674072DB"/>
    <w:rsid w:val="67447F34"/>
    <w:rsid w:val="675532C8"/>
    <w:rsid w:val="679F7DEF"/>
    <w:rsid w:val="67EB657A"/>
    <w:rsid w:val="680633E1"/>
    <w:rsid w:val="68226616"/>
    <w:rsid w:val="6844104D"/>
    <w:rsid w:val="684921C0"/>
    <w:rsid w:val="68B00491"/>
    <w:rsid w:val="68B735CD"/>
    <w:rsid w:val="68B84DB4"/>
    <w:rsid w:val="69005E96"/>
    <w:rsid w:val="694035C3"/>
    <w:rsid w:val="6969323F"/>
    <w:rsid w:val="6A2054D5"/>
    <w:rsid w:val="6A4F42B1"/>
    <w:rsid w:val="6A693B40"/>
    <w:rsid w:val="6AB53B3C"/>
    <w:rsid w:val="6AF74155"/>
    <w:rsid w:val="6AFD34C8"/>
    <w:rsid w:val="6B0B7C86"/>
    <w:rsid w:val="6B6F63E1"/>
    <w:rsid w:val="6B80414A"/>
    <w:rsid w:val="6B97675D"/>
    <w:rsid w:val="6CDA7624"/>
    <w:rsid w:val="6CE81713"/>
    <w:rsid w:val="6D070BEB"/>
    <w:rsid w:val="6D0B6015"/>
    <w:rsid w:val="6D7B2E1B"/>
    <w:rsid w:val="6D7B76B4"/>
    <w:rsid w:val="6D8F2D6B"/>
    <w:rsid w:val="6D9143ED"/>
    <w:rsid w:val="6DB91B96"/>
    <w:rsid w:val="6DB932C1"/>
    <w:rsid w:val="6E1437DA"/>
    <w:rsid w:val="6E1F0847"/>
    <w:rsid w:val="6E3520A2"/>
    <w:rsid w:val="6E3A43BC"/>
    <w:rsid w:val="6EF6485A"/>
    <w:rsid w:val="6F394D3C"/>
    <w:rsid w:val="6F572DF1"/>
    <w:rsid w:val="6F7264A0"/>
    <w:rsid w:val="6FA843BB"/>
    <w:rsid w:val="6FBC771B"/>
    <w:rsid w:val="70A66401"/>
    <w:rsid w:val="713F6A92"/>
    <w:rsid w:val="71877781"/>
    <w:rsid w:val="71B66B18"/>
    <w:rsid w:val="722C52AF"/>
    <w:rsid w:val="728C5ACB"/>
    <w:rsid w:val="72944086"/>
    <w:rsid w:val="72954F16"/>
    <w:rsid w:val="72D82ABE"/>
    <w:rsid w:val="733B0CDF"/>
    <w:rsid w:val="7350785D"/>
    <w:rsid w:val="73852C46"/>
    <w:rsid w:val="73A07A74"/>
    <w:rsid w:val="73C86E78"/>
    <w:rsid w:val="73CB43D1"/>
    <w:rsid w:val="747D391D"/>
    <w:rsid w:val="74CD211B"/>
    <w:rsid w:val="74DD1DA7"/>
    <w:rsid w:val="752C1393"/>
    <w:rsid w:val="7547449C"/>
    <w:rsid w:val="755548B4"/>
    <w:rsid w:val="7580588A"/>
    <w:rsid w:val="762C6FE5"/>
    <w:rsid w:val="7634380D"/>
    <w:rsid w:val="7639386A"/>
    <w:rsid w:val="76575EBB"/>
    <w:rsid w:val="766069C2"/>
    <w:rsid w:val="7686683E"/>
    <w:rsid w:val="76A84E99"/>
    <w:rsid w:val="76E12833"/>
    <w:rsid w:val="76F55A77"/>
    <w:rsid w:val="77633752"/>
    <w:rsid w:val="77646A47"/>
    <w:rsid w:val="778B45A3"/>
    <w:rsid w:val="77E638B0"/>
    <w:rsid w:val="77EF7281"/>
    <w:rsid w:val="786170B2"/>
    <w:rsid w:val="788D4480"/>
    <w:rsid w:val="78A32008"/>
    <w:rsid w:val="78C57F86"/>
    <w:rsid w:val="78D11888"/>
    <w:rsid w:val="78F53F2C"/>
    <w:rsid w:val="796912D5"/>
    <w:rsid w:val="79C344AC"/>
    <w:rsid w:val="79F62C66"/>
    <w:rsid w:val="7ADB314B"/>
    <w:rsid w:val="7AE04C06"/>
    <w:rsid w:val="7AFD7B90"/>
    <w:rsid w:val="7AFE6E3A"/>
    <w:rsid w:val="7B2D0AFC"/>
    <w:rsid w:val="7B4A02D1"/>
    <w:rsid w:val="7B4A6DD9"/>
    <w:rsid w:val="7BC34B22"/>
    <w:rsid w:val="7C4A67DB"/>
    <w:rsid w:val="7CA848E7"/>
    <w:rsid w:val="7CDB5685"/>
    <w:rsid w:val="7CE915AD"/>
    <w:rsid w:val="7D0821F2"/>
    <w:rsid w:val="7D3A560F"/>
    <w:rsid w:val="7DCF0593"/>
    <w:rsid w:val="7DD74128"/>
    <w:rsid w:val="7E1F194A"/>
    <w:rsid w:val="7E5E415E"/>
    <w:rsid w:val="7E7A1CAE"/>
    <w:rsid w:val="7EC34622"/>
    <w:rsid w:val="7F493897"/>
    <w:rsid w:val="7FA833B8"/>
    <w:rsid w:val="FDF61C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3"/>
    <w:next w:val="1"/>
    <w:link w:val="48"/>
    <w:qFormat/>
    <w:uiPriority w:val="0"/>
    <w:pPr>
      <w:keepNext/>
      <w:keepLines/>
      <w:spacing w:before="260" w:after="260" w:line="416" w:lineRule="auto"/>
      <w:outlineLvl w:val="2"/>
    </w:pPr>
    <w:rPr>
      <w:b w:val="0"/>
      <w:bCs w:val="0"/>
      <w:sz w:val="32"/>
      <w:szCs w:val="32"/>
    </w:rPr>
  </w:style>
  <w:style w:type="paragraph" w:styleId="5">
    <w:name w:val="heading 4"/>
    <w:basedOn w:val="1"/>
    <w:next w:val="1"/>
    <w:link w:val="49"/>
    <w:qFormat/>
    <w:uiPriority w:val="0"/>
    <w:pPr>
      <w:keepNext/>
      <w:jc w:val="center"/>
      <w:outlineLvl w:val="3"/>
    </w:pPr>
    <w:rPr>
      <w:rFonts w:eastAsia="新宋体"/>
      <w:sz w:val="30"/>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qFormat/>
    <w:uiPriority w:val="0"/>
    <w:pPr>
      <w:ind w:firstLine="420"/>
    </w:pPr>
    <w:rPr>
      <w:szCs w:val="20"/>
    </w:rPr>
  </w:style>
  <w:style w:type="paragraph" w:styleId="7">
    <w:name w:val="Document Map"/>
    <w:basedOn w:val="1"/>
    <w:link w:val="51"/>
    <w:semiHidden/>
    <w:qFormat/>
    <w:uiPriority w:val="0"/>
    <w:pPr>
      <w:shd w:val="clear" w:color="auto" w:fill="000080"/>
    </w:pPr>
  </w:style>
  <w:style w:type="paragraph" w:styleId="8">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link w:val="52"/>
    <w:unhideWhenUsed/>
    <w:qFormat/>
    <w:uiPriority w:val="99"/>
    <w:pPr>
      <w:jc w:val="left"/>
    </w:pPr>
  </w:style>
  <w:style w:type="paragraph" w:styleId="10">
    <w:name w:val="Body Text"/>
    <w:basedOn w:val="1"/>
    <w:next w:val="6"/>
    <w:qFormat/>
    <w:uiPriority w:val="0"/>
    <w:pPr>
      <w:spacing w:line="400" w:lineRule="exact"/>
    </w:pPr>
    <w:rPr>
      <w:rFonts w:ascii="楷体_GB2312"/>
      <w:sz w:val="28"/>
    </w:rPr>
  </w:style>
  <w:style w:type="paragraph" w:styleId="11">
    <w:name w:val="Body Text Indent"/>
    <w:basedOn w:val="1"/>
    <w:next w:val="12"/>
    <w:link w:val="55"/>
    <w:qFormat/>
    <w:uiPriority w:val="0"/>
    <w:pPr>
      <w:spacing w:after="120"/>
      <w:ind w:left="420" w:leftChars="200"/>
    </w:pPr>
  </w:style>
  <w:style w:type="paragraph" w:styleId="12">
    <w:name w:val="envelope return"/>
    <w:basedOn w:val="1"/>
    <w:unhideWhenUsed/>
    <w:qFormat/>
    <w:uiPriority w:val="99"/>
    <w:pPr>
      <w:snapToGrid w:val="0"/>
    </w:pPr>
    <w:rPr>
      <w:rFonts w:ascii="Arial" w:hAnsi="Arial"/>
    </w:rPr>
  </w:style>
  <w:style w:type="paragraph" w:styleId="13">
    <w:name w:val="Block Text"/>
    <w:basedOn w:val="1"/>
    <w:next w:val="10"/>
    <w:qFormat/>
    <w:uiPriority w:val="99"/>
    <w:pPr>
      <w:ind w:left="1440" w:leftChars="700" w:right="700" w:rightChars="700"/>
    </w:pPr>
    <w:rPr>
      <w:rFonts w:ascii="Times New Roman" w:hAnsi="Times New Roman" w:eastAsia="宋体" w:cs="Times New Roman"/>
      <w:color w:val="FF0000"/>
      <w:sz w:val="18"/>
      <w:szCs w:val="24"/>
    </w:rPr>
  </w:style>
  <w:style w:type="paragraph" w:styleId="14">
    <w:name w:val="index 4"/>
    <w:basedOn w:val="1"/>
    <w:next w:val="1"/>
    <w:semiHidden/>
    <w:qFormat/>
    <w:uiPriority w:val="0"/>
    <w:pPr>
      <w:ind w:left="1260"/>
    </w:pPr>
  </w:style>
  <w:style w:type="paragraph" w:styleId="15">
    <w:name w:val="Plain Text"/>
    <w:basedOn w:val="1"/>
    <w:qFormat/>
    <w:uiPriority w:val="0"/>
    <w:rPr>
      <w:rFonts w:ascii="宋体" w:hAnsi="Courier New"/>
      <w:szCs w:val="20"/>
    </w:rPr>
  </w:style>
  <w:style w:type="paragraph" w:styleId="16">
    <w:name w:val="Date"/>
    <w:basedOn w:val="1"/>
    <w:next w:val="1"/>
    <w:link w:val="56"/>
    <w:qFormat/>
    <w:uiPriority w:val="0"/>
    <w:pPr>
      <w:ind w:left="100" w:leftChars="2500"/>
    </w:pPr>
  </w:style>
  <w:style w:type="paragraph" w:styleId="17">
    <w:name w:val="Balloon Text"/>
    <w:basedOn w:val="1"/>
    <w:link w:val="57"/>
    <w:semiHidden/>
    <w:qFormat/>
    <w:uiPriority w:val="0"/>
    <w:rPr>
      <w:sz w:val="18"/>
      <w:szCs w:val="18"/>
    </w:rPr>
  </w:style>
  <w:style w:type="paragraph" w:styleId="18">
    <w:name w:val="footer"/>
    <w:basedOn w:val="1"/>
    <w:link w:val="58"/>
    <w:qFormat/>
    <w:uiPriority w:val="99"/>
    <w:pPr>
      <w:tabs>
        <w:tab w:val="center" w:pos="4153"/>
        <w:tab w:val="right" w:pos="8306"/>
      </w:tabs>
      <w:snapToGrid w:val="0"/>
      <w:jc w:val="left"/>
    </w:pPr>
    <w:rPr>
      <w:sz w:val="18"/>
      <w:szCs w:val="18"/>
    </w:rPr>
  </w:style>
  <w:style w:type="paragraph" w:styleId="19">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tabs>
        <w:tab w:val="right" w:leader="dot" w:pos="8296"/>
      </w:tabs>
      <w:spacing w:line="360" w:lineRule="auto"/>
    </w:pPr>
  </w:style>
  <w:style w:type="paragraph" w:styleId="21">
    <w:name w:val="Body Text Indent 3"/>
    <w:basedOn w:val="1"/>
    <w:next w:val="8"/>
    <w:link w:val="60"/>
    <w:qFormat/>
    <w:uiPriority w:val="0"/>
    <w:pPr>
      <w:spacing w:line="520" w:lineRule="exact"/>
      <w:ind w:firstLine="539" w:firstLineChars="184"/>
    </w:pPr>
    <w:rPr>
      <w:rFonts w:ascii="宋体"/>
      <w:b/>
      <w:spacing w:val="6"/>
      <w:sz w:val="28"/>
    </w:rPr>
  </w:style>
  <w:style w:type="paragraph" w:styleId="2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24">
    <w:name w:val="annotation subject"/>
    <w:basedOn w:val="9"/>
    <w:next w:val="9"/>
    <w:link w:val="61"/>
    <w:unhideWhenUsed/>
    <w:qFormat/>
    <w:uiPriority w:val="99"/>
    <w:rPr>
      <w:b/>
      <w:bCs/>
    </w:rPr>
  </w:style>
  <w:style w:type="paragraph" w:styleId="25">
    <w:name w:val="Body Text First Indent"/>
    <w:basedOn w:val="10"/>
    <w:qFormat/>
    <w:uiPriority w:val="0"/>
    <w:pPr>
      <w:spacing w:line="360" w:lineRule="auto"/>
      <w:ind w:firstLine="200" w:firstLineChars="200"/>
    </w:pPr>
    <w:rPr>
      <w:rFonts w:ascii="仿宋_GB2312" w:eastAsia="仿宋_GB2312"/>
      <w:kern w:val="0"/>
      <w:sz w:val="30"/>
      <w:szCs w:val="30"/>
    </w:rPr>
  </w:style>
  <w:style w:type="paragraph" w:styleId="26">
    <w:name w:val="Body Text First Indent 2"/>
    <w:basedOn w:val="11"/>
    <w:next w:val="21"/>
    <w:link w:val="62"/>
    <w:unhideWhenUsed/>
    <w:qFormat/>
    <w:uiPriority w:val="99"/>
    <w:pPr>
      <w:ind w:firstLine="20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style>
  <w:style w:type="character" w:styleId="32">
    <w:name w:val="FollowedHyperlink"/>
    <w:unhideWhenUsed/>
    <w:qFormat/>
    <w:uiPriority w:val="99"/>
    <w:rPr>
      <w:color w:val="800080"/>
      <w:u w:val="none"/>
    </w:rPr>
  </w:style>
  <w:style w:type="character" w:styleId="33">
    <w:name w:val="Emphasis"/>
    <w:qFormat/>
    <w:uiPriority w:val="0"/>
    <w:rPr>
      <w:b/>
      <w:bCs/>
    </w:rPr>
  </w:style>
  <w:style w:type="character" w:styleId="34">
    <w:name w:val="HTML Definition"/>
    <w:unhideWhenUsed/>
    <w:qFormat/>
    <w:uiPriority w:val="99"/>
  </w:style>
  <w:style w:type="character" w:styleId="35">
    <w:name w:val="HTML Typewriter"/>
    <w:unhideWhenUsed/>
    <w:qFormat/>
    <w:uiPriority w:val="99"/>
    <w:rPr>
      <w:rFonts w:hint="default" w:ascii="monospace" w:hAnsi="monospace" w:eastAsia="monospace" w:cs="monospace"/>
      <w:sz w:val="20"/>
    </w:rPr>
  </w:style>
  <w:style w:type="character" w:styleId="36">
    <w:name w:val="HTML Acronym"/>
    <w:unhideWhenUsed/>
    <w:qFormat/>
    <w:uiPriority w:val="99"/>
  </w:style>
  <w:style w:type="character" w:styleId="37">
    <w:name w:val="HTML Variable"/>
    <w:unhideWhenUsed/>
    <w:qFormat/>
    <w:uiPriority w:val="99"/>
  </w:style>
  <w:style w:type="character" w:styleId="38">
    <w:name w:val="Hyperlink"/>
    <w:unhideWhenUsed/>
    <w:qFormat/>
    <w:uiPriority w:val="99"/>
    <w:rPr>
      <w:color w:val="0000FF"/>
      <w:u w:val="none"/>
    </w:rPr>
  </w:style>
  <w:style w:type="character" w:styleId="39">
    <w:name w:val="HTML Code"/>
    <w:unhideWhenUsed/>
    <w:qFormat/>
    <w:uiPriority w:val="99"/>
    <w:rPr>
      <w:rFonts w:hint="default" w:ascii="monospace" w:hAnsi="monospace" w:eastAsia="monospace" w:cs="monospace"/>
      <w:sz w:val="20"/>
    </w:rPr>
  </w:style>
  <w:style w:type="character" w:styleId="40">
    <w:name w:val="annotation reference"/>
    <w:unhideWhenUsed/>
    <w:qFormat/>
    <w:uiPriority w:val="99"/>
    <w:rPr>
      <w:sz w:val="21"/>
      <w:szCs w:val="21"/>
    </w:rPr>
  </w:style>
  <w:style w:type="character" w:styleId="41">
    <w:name w:val="HTML Cite"/>
    <w:unhideWhenUsed/>
    <w:qFormat/>
    <w:uiPriority w:val="99"/>
  </w:style>
  <w:style w:type="character" w:styleId="42">
    <w:name w:val="HTML Keyboard"/>
    <w:unhideWhenUsed/>
    <w:qFormat/>
    <w:uiPriority w:val="99"/>
    <w:rPr>
      <w:rFonts w:ascii="monospace" w:hAnsi="monospace" w:eastAsia="monospace" w:cs="monospace"/>
      <w:sz w:val="20"/>
    </w:rPr>
  </w:style>
  <w:style w:type="character" w:styleId="43">
    <w:name w:val="HTML Sample"/>
    <w:unhideWhenUsed/>
    <w:qFormat/>
    <w:uiPriority w:val="99"/>
    <w:rPr>
      <w:rFonts w:hint="default" w:ascii="monospace" w:hAnsi="monospace" w:eastAsia="monospace" w:cs="monospace"/>
    </w:rPr>
  </w:style>
  <w:style w:type="paragraph" w:customStyle="1" w:styleId="44">
    <w:name w:val="正文（缩进）"/>
    <w:basedOn w:val="1"/>
    <w:qFormat/>
    <w:uiPriority w:val="0"/>
    <w:pPr>
      <w:spacing w:beforeLines="50" w:afterLines="50" w:line="360" w:lineRule="auto"/>
      <w:ind w:firstLine="480" w:firstLineChars="200"/>
    </w:pPr>
    <w:rPr>
      <w:rFonts w:eastAsia="宋体"/>
      <w:sz w:val="24"/>
      <w:szCs w:val="24"/>
    </w:rPr>
  </w:style>
  <w:style w:type="paragraph" w:customStyle="1" w:styleId="45">
    <w:name w:val="正文1"/>
    <w:basedOn w:val="1"/>
    <w:qFormat/>
    <w:uiPriority w:val="0"/>
    <w:pPr>
      <w:spacing w:line="360" w:lineRule="auto"/>
      <w:ind w:firstLine="361"/>
    </w:pPr>
    <w:rPr>
      <w:rFonts w:ascii="宋体" w:hAnsi="宋体" w:eastAsia="宋体" w:cs="Times New Roman"/>
    </w:rPr>
  </w:style>
  <w:style w:type="character" w:customStyle="1" w:styleId="46">
    <w:name w:val="标题 1 字符"/>
    <w:link w:val="2"/>
    <w:qFormat/>
    <w:uiPriority w:val="0"/>
    <w:rPr>
      <w:b/>
      <w:bCs/>
      <w:kern w:val="44"/>
      <w:sz w:val="44"/>
      <w:szCs w:val="44"/>
    </w:rPr>
  </w:style>
  <w:style w:type="character" w:customStyle="1" w:styleId="47">
    <w:name w:val="标题 2 字符"/>
    <w:link w:val="3"/>
    <w:qFormat/>
    <w:uiPriority w:val="0"/>
    <w:rPr>
      <w:rFonts w:ascii="Arial" w:hAnsi="Arial" w:eastAsia="黑体"/>
      <w:b/>
      <w:bCs/>
      <w:kern w:val="2"/>
      <w:sz w:val="32"/>
      <w:szCs w:val="32"/>
    </w:rPr>
  </w:style>
  <w:style w:type="character" w:customStyle="1" w:styleId="48">
    <w:name w:val="标题 3 字符"/>
    <w:link w:val="4"/>
    <w:qFormat/>
    <w:uiPriority w:val="0"/>
    <w:rPr>
      <w:b/>
      <w:bCs/>
      <w:kern w:val="2"/>
      <w:sz w:val="32"/>
      <w:szCs w:val="32"/>
    </w:rPr>
  </w:style>
  <w:style w:type="character" w:customStyle="1" w:styleId="49">
    <w:name w:val="标题 4 字符"/>
    <w:link w:val="5"/>
    <w:qFormat/>
    <w:uiPriority w:val="0"/>
    <w:rPr>
      <w:rFonts w:eastAsia="新宋体"/>
      <w:kern w:val="2"/>
      <w:sz w:val="30"/>
      <w:szCs w:val="21"/>
    </w:rPr>
  </w:style>
  <w:style w:type="character" w:customStyle="1" w:styleId="50">
    <w:name w:val="正文缩进 字符"/>
    <w:link w:val="6"/>
    <w:qFormat/>
    <w:uiPriority w:val="0"/>
    <w:rPr>
      <w:kern w:val="2"/>
      <w:sz w:val="21"/>
    </w:rPr>
  </w:style>
  <w:style w:type="character" w:customStyle="1" w:styleId="51">
    <w:name w:val="文档结构图 字符"/>
    <w:link w:val="7"/>
    <w:semiHidden/>
    <w:qFormat/>
    <w:uiPriority w:val="0"/>
    <w:rPr>
      <w:kern w:val="2"/>
      <w:sz w:val="21"/>
      <w:szCs w:val="24"/>
      <w:shd w:val="clear" w:color="auto" w:fill="000080"/>
    </w:rPr>
  </w:style>
  <w:style w:type="character" w:customStyle="1" w:styleId="52">
    <w:name w:val="批注文字 字符"/>
    <w:link w:val="9"/>
    <w:qFormat/>
    <w:uiPriority w:val="99"/>
    <w:rPr>
      <w:kern w:val="2"/>
      <w:sz w:val="21"/>
      <w:szCs w:val="24"/>
    </w:rPr>
  </w:style>
  <w:style w:type="paragraph" w:customStyle="1" w:styleId="53">
    <w:name w:val="style4"/>
    <w:basedOn w:val="1"/>
    <w:next w:val="54"/>
    <w:qFormat/>
    <w:uiPriority w:val="0"/>
    <w:pPr>
      <w:widowControl/>
      <w:spacing w:before="280" w:after="280"/>
    </w:pPr>
    <w:rPr>
      <w:rFonts w:ascii="宋体"/>
      <w:sz w:val="18"/>
    </w:rPr>
  </w:style>
  <w:style w:type="paragraph" w:customStyle="1" w:styleId="54">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55">
    <w:name w:val="正文文本缩进 字符"/>
    <w:link w:val="11"/>
    <w:qFormat/>
    <w:uiPriority w:val="0"/>
    <w:rPr>
      <w:kern w:val="2"/>
      <w:sz w:val="21"/>
      <w:szCs w:val="24"/>
    </w:rPr>
  </w:style>
  <w:style w:type="character" w:customStyle="1" w:styleId="56">
    <w:name w:val="日期 字符"/>
    <w:link w:val="16"/>
    <w:qFormat/>
    <w:uiPriority w:val="0"/>
    <w:rPr>
      <w:kern w:val="2"/>
      <w:sz w:val="21"/>
      <w:szCs w:val="24"/>
    </w:rPr>
  </w:style>
  <w:style w:type="character" w:customStyle="1" w:styleId="57">
    <w:name w:val="批注框文本 字符"/>
    <w:link w:val="17"/>
    <w:semiHidden/>
    <w:qFormat/>
    <w:uiPriority w:val="0"/>
    <w:rPr>
      <w:kern w:val="2"/>
      <w:sz w:val="18"/>
      <w:szCs w:val="18"/>
    </w:rPr>
  </w:style>
  <w:style w:type="character" w:customStyle="1" w:styleId="58">
    <w:name w:val="页脚 字符"/>
    <w:link w:val="18"/>
    <w:qFormat/>
    <w:uiPriority w:val="99"/>
    <w:rPr>
      <w:kern w:val="2"/>
      <w:sz w:val="18"/>
      <w:szCs w:val="18"/>
    </w:rPr>
  </w:style>
  <w:style w:type="character" w:customStyle="1" w:styleId="59">
    <w:name w:val="页眉 字符"/>
    <w:link w:val="19"/>
    <w:qFormat/>
    <w:uiPriority w:val="0"/>
    <w:rPr>
      <w:kern w:val="2"/>
      <w:sz w:val="18"/>
      <w:szCs w:val="18"/>
    </w:rPr>
  </w:style>
  <w:style w:type="character" w:customStyle="1" w:styleId="60">
    <w:name w:val="正文文本缩进 3 字符"/>
    <w:link w:val="21"/>
    <w:qFormat/>
    <w:uiPriority w:val="0"/>
    <w:rPr>
      <w:rFonts w:ascii="宋体"/>
      <w:b/>
      <w:spacing w:val="6"/>
      <w:kern w:val="2"/>
      <w:sz w:val="28"/>
      <w:szCs w:val="24"/>
    </w:rPr>
  </w:style>
  <w:style w:type="character" w:customStyle="1" w:styleId="61">
    <w:name w:val="批注主题 字符"/>
    <w:link w:val="24"/>
    <w:semiHidden/>
    <w:qFormat/>
    <w:uiPriority w:val="99"/>
    <w:rPr>
      <w:b/>
      <w:bCs/>
      <w:kern w:val="2"/>
      <w:sz w:val="21"/>
      <w:szCs w:val="24"/>
    </w:rPr>
  </w:style>
  <w:style w:type="character" w:customStyle="1" w:styleId="62">
    <w:name w:val="正文文本首行缩进 2 字符"/>
    <w:link w:val="26"/>
    <w:qFormat/>
    <w:uiPriority w:val="99"/>
  </w:style>
  <w:style w:type="paragraph" w:customStyle="1" w:styleId="6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Arial" w:hAnsi="Arial" w:eastAsia="PMingLiU" w:cs="Times New Roman"/>
      <w:kern w:val="0"/>
      <w:sz w:val="20"/>
      <w:szCs w:val="20"/>
      <w:lang w:val="en-US" w:eastAsia="zh-CN" w:bidi="ar"/>
    </w:rPr>
  </w:style>
  <w:style w:type="character" w:customStyle="1" w:styleId="64">
    <w:name w:val="正文缩进2格 Char"/>
    <w:link w:val="65"/>
    <w:qFormat/>
    <w:locked/>
    <w:uiPriority w:val="0"/>
    <w:rPr>
      <w:rFonts w:ascii="仿宋_GB2312" w:hAnsi="宋体" w:eastAsia="仿宋_GB2312"/>
      <w:kern w:val="2"/>
      <w:sz w:val="31"/>
      <w:szCs w:val="28"/>
    </w:rPr>
  </w:style>
  <w:style w:type="paragraph" w:customStyle="1" w:styleId="65">
    <w:name w:val="正文缩进2格"/>
    <w:basedOn w:val="1"/>
    <w:link w:val="64"/>
    <w:qFormat/>
    <w:uiPriority w:val="0"/>
    <w:pPr>
      <w:spacing w:line="600" w:lineRule="exact"/>
      <w:ind w:firstLine="639" w:firstLineChars="206"/>
    </w:pPr>
    <w:rPr>
      <w:rFonts w:ascii="仿宋_GB2312" w:hAnsi="宋体" w:eastAsia="仿宋_GB2312"/>
      <w:sz w:val="31"/>
      <w:szCs w:val="28"/>
    </w:rPr>
  </w:style>
  <w:style w:type="character" w:customStyle="1" w:styleId="66">
    <w:name w:val="标题 3.1 Char"/>
    <w:link w:val="67"/>
    <w:qFormat/>
    <w:locked/>
    <w:uiPriority w:val="0"/>
    <w:rPr>
      <w:rFonts w:ascii="宋体" w:hAnsi="宋体"/>
      <w:b/>
      <w:bCs/>
      <w:color w:val="000000"/>
      <w:kern w:val="2"/>
      <w:sz w:val="32"/>
      <w:szCs w:val="32"/>
    </w:rPr>
  </w:style>
  <w:style w:type="paragraph" w:customStyle="1" w:styleId="67">
    <w:name w:val="标题 3.1"/>
    <w:basedOn w:val="4"/>
    <w:link w:val="66"/>
    <w:qFormat/>
    <w:uiPriority w:val="0"/>
    <w:pPr>
      <w:tabs>
        <w:tab w:val="left" w:pos="1440"/>
        <w:tab w:val="left" w:pos="1620"/>
      </w:tabs>
      <w:spacing w:line="600" w:lineRule="exact"/>
    </w:pPr>
    <w:rPr>
      <w:rFonts w:ascii="宋体" w:hAnsi="宋体"/>
      <w:color w:val="000000"/>
    </w:rPr>
  </w:style>
  <w:style w:type="paragraph" w:customStyle="1" w:styleId="68">
    <w:name w:val=" Char"/>
    <w:basedOn w:val="1"/>
    <w:qFormat/>
    <w:uiPriority w:val="0"/>
    <w:rPr>
      <w:rFonts w:ascii="Tahoma" w:hAnsi="Tahoma"/>
      <w:sz w:val="24"/>
      <w:szCs w:val="20"/>
    </w:rPr>
  </w:style>
  <w:style w:type="paragraph" w:customStyle="1" w:styleId="69">
    <w:name w:val="正文缩进4格"/>
    <w:basedOn w:val="65"/>
    <w:qFormat/>
    <w:uiPriority w:val="0"/>
    <w:pPr>
      <w:ind w:left="2" w:firstLine="538" w:firstLineChars="192"/>
    </w:pPr>
    <w:rPr>
      <w:color w:val="000000"/>
      <w:sz w:val="28"/>
    </w:rPr>
  </w:style>
  <w:style w:type="paragraph" w:customStyle="1" w:styleId="70">
    <w:name w:val=" Char Char Char Char"/>
    <w:basedOn w:val="1"/>
    <w:qFormat/>
    <w:uiPriority w:val="0"/>
    <w:rPr>
      <w:rFonts w:ascii="Tahoma" w:hAnsi="Tahoma"/>
      <w:sz w:val="24"/>
      <w:szCs w:val="20"/>
    </w:rPr>
  </w:style>
  <w:style w:type="paragraph" w:customStyle="1" w:styleId="71">
    <w:name w:val="Char1"/>
    <w:basedOn w:val="1"/>
    <w:qFormat/>
    <w:uiPriority w:val="0"/>
    <w:pPr>
      <w:tabs>
        <w:tab w:val="left" w:pos="840"/>
      </w:tabs>
      <w:ind w:left="840" w:hanging="420"/>
    </w:pPr>
    <w:rPr>
      <w:sz w:val="24"/>
    </w:rPr>
  </w:style>
  <w:style w:type="paragraph" w:customStyle="1" w:styleId="72">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 Char Char 字元 字元 字元 Char Char Char Char"/>
    <w:basedOn w:val="1"/>
    <w:qFormat/>
    <w:uiPriority w:val="0"/>
    <w:pPr>
      <w:adjustRightInd w:val="0"/>
      <w:spacing w:line="360" w:lineRule="auto"/>
    </w:pPr>
    <w:rPr>
      <w:kern w:val="0"/>
      <w:sz w:val="24"/>
      <w:szCs w:val="20"/>
    </w:rPr>
  </w:style>
  <w:style w:type="paragraph" w:customStyle="1" w:styleId="75">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76">
    <w:name w:val="Char"/>
    <w:basedOn w:val="1"/>
    <w:qFormat/>
    <w:uiPriority w:val="0"/>
    <w:rPr>
      <w:rFonts w:ascii="Tahoma" w:hAnsi="Tahoma"/>
      <w:sz w:val="24"/>
      <w:szCs w:val="20"/>
    </w:rPr>
  </w:style>
  <w:style w:type="paragraph" w:customStyle="1" w:styleId="77">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78">
    <w:name w:val="普通正文 Char"/>
    <w:link w:val="79"/>
    <w:qFormat/>
    <w:uiPriority w:val="0"/>
    <w:rPr>
      <w:rFonts w:ascii="Arial" w:hAnsi="Arial"/>
      <w:sz w:val="24"/>
      <w:szCs w:val="24"/>
    </w:rPr>
  </w:style>
  <w:style w:type="paragraph" w:customStyle="1" w:styleId="79">
    <w:name w:val="普通正文"/>
    <w:basedOn w:val="1"/>
    <w:link w:val="78"/>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0">
    <w:name w:val="mini-outputtext1"/>
    <w:qFormat/>
    <w:uiPriority w:val="0"/>
  </w:style>
  <w:style w:type="character" w:customStyle="1" w:styleId="81">
    <w:name w:val="font31"/>
    <w:qFormat/>
    <w:uiPriority w:val="0"/>
    <w:rPr>
      <w:rFonts w:hint="eastAsia" w:ascii="宋体" w:hAnsi="宋体" w:eastAsia="宋体" w:cs="宋体"/>
      <w:color w:val="000000"/>
      <w:sz w:val="21"/>
      <w:szCs w:val="21"/>
      <w:u w:val="none"/>
    </w:rPr>
  </w:style>
  <w:style w:type="character" w:customStyle="1" w:styleId="82">
    <w:name w:val="font61"/>
    <w:qFormat/>
    <w:uiPriority w:val="0"/>
    <w:rPr>
      <w:rFonts w:hint="default" w:ascii="Times New Roman" w:hAnsi="Times New Roman" w:cs="Times New Roman"/>
      <w:color w:val="000000"/>
      <w:sz w:val="21"/>
      <w:szCs w:val="21"/>
      <w:u w:val="none"/>
    </w:rPr>
  </w:style>
  <w:style w:type="character" w:customStyle="1" w:styleId="83">
    <w:name w:val="font01"/>
    <w:qFormat/>
    <w:uiPriority w:val="0"/>
    <w:rPr>
      <w:rFonts w:hint="default" w:ascii="等线" w:hAnsi="等线" w:eastAsia="等线" w:cs="等线"/>
      <w:color w:val="000000"/>
      <w:sz w:val="22"/>
      <w:szCs w:val="22"/>
      <w:u w:val="none"/>
    </w:rPr>
  </w:style>
  <w:style w:type="character" w:customStyle="1" w:styleId="84">
    <w:name w:val="font51"/>
    <w:qFormat/>
    <w:uiPriority w:val="0"/>
    <w:rPr>
      <w:rFonts w:hint="default" w:ascii="等线" w:hAnsi="等线" w:eastAsia="等线" w:cs="等线"/>
      <w:b/>
      <w:bCs/>
      <w:color w:val="000000"/>
      <w:sz w:val="22"/>
      <w:szCs w:val="22"/>
      <w:u w:val="none"/>
    </w:rPr>
  </w:style>
  <w:style w:type="paragraph" w:customStyle="1" w:styleId="85">
    <w:name w:val="普通(网站)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86">
    <w:name w:val="sh1"/>
    <w:basedOn w:val="23"/>
    <w:qFormat/>
    <w:uiPriority w:val="0"/>
    <w:pPr>
      <w:adjustRightInd w:val="0"/>
      <w:spacing w:before="0"/>
    </w:pPr>
    <w:rPr>
      <w:rFonts w:ascii="Arial" w:hAnsi="Arial"/>
      <w:bCs w:val="0"/>
    </w:rPr>
  </w:style>
  <w:style w:type="paragraph" w:customStyle="1" w:styleId="87">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88">
    <w:name w:val="首行缩进"/>
    <w:basedOn w:val="1"/>
    <w:next w:val="1"/>
    <w:qFormat/>
    <w:uiPriority w:val="0"/>
    <w:pPr>
      <w:ind w:firstLine="480" w:firstLineChars="200"/>
    </w:pPr>
    <w:rPr>
      <w:rFonts w:ascii="Calibri" w:hAnsi="Calibri"/>
      <w:szCs w:val="21"/>
    </w:rPr>
  </w:style>
  <w:style w:type="paragraph" w:customStyle="1" w:styleId="89">
    <w:name w:val="Table Paragraph"/>
    <w:basedOn w:val="1"/>
    <w:qFormat/>
    <w:uiPriority w:val="1"/>
    <w:rPr>
      <w:rFonts w:ascii="宋体" w:hAnsi="宋体" w:cs="宋体"/>
      <w:lang w:val="zh-CN" w:bidi="zh-CN"/>
    </w:rPr>
  </w:style>
  <w:style w:type="paragraph" w:customStyle="1" w:styleId="90">
    <w:name w:val="_Style 88"/>
    <w:unhideWhenUsed/>
    <w:qFormat/>
    <w:uiPriority w:val="99"/>
    <w:rPr>
      <w:rFonts w:ascii="Times New Roman" w:hAnsi="Times New Roman" w:eastAsia="宋体" w:cs="Times New Roman"/>
      <w:kern w:val="2"/>
      <w:sz w:val="21"/>
      <w:szCs w:val="24"/>
      <w:lang w:val="en-US" w:eastAsia="zh-CN" w:bidi="ar-SA"/>
    </w:rPr>
  </w:style>
  <w:style w:type="table" w:customStyle="1" w:styleId="91">
    <w:name w:val="Table Normal"/>
    <w:unhideWhenUsed/>
    <w:qFormat/>
    <w:uiPriority w:val="0"/>
    <w:rPr>
      <w:lang w:val="en-US" w:eastAsia="zh-CN" w:bidi="ar-SA"/>
    </w:rPr>
    <w:tblPr>
      <w:tblCellMar>
        <w:top w:w="0" w:type="dxa"/>
        <w:left w:w="0" w:type="dxa"/>
        <w:bottom w:w="0" w:type="dxa"/>
        <w:right w:w="0" w:type="dxa"/>
      </w:tblCellMar>
    </w:tblPr>
  </w:style>
  <w:style w:type="table" w:customStyle="1" w:styleId="92">
    <w:name w:val="网格型4"/>
    <w:basedOn w:val="2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3">
    <w:name w:val="List Paragraph"/>
    <w:basedOn w:val="1"/>
    <w:qFormat/>
    <w:uiPriority w:val="34"/>
    <w:pPr>
      <w:ind w:firstLine="420" w:firstLineChars="200"/>
    </w:pPr>
    <w:rPr>
      <w:rFonts w:ascii="Times New Roman" w:hAnsi="Times New Roman"/>
    </w:rPr>
  </w:style>
  <w:style w:type="paragraph" w:customStyle="1" w:styleId="94">
    <w:name w:val="Table Text"/>
    <w:basedOn w:val="1"/>
    <w:semiHidden/>
    <w:qFormat/>
    <w:uiPriority w:val="0"/>
    <w:rPr>
      <w:rFonts w:ascii="宋体" w:hAnsi="宋体" w:eastAsia="宋体" w:cs="宋体"/>
      <w:sz w:val="19"/>
      <w:szCs w:val="19"/>
      <w:lang w:val="en-US" w:eastAsia="en-US" w:bidi="ar-SA"/>
    </w:rPr>
  </w:style>
  <w:style w:type="paragraph" w:customStyle="1" w:styleId="95">
    <w:name w:val="*正文"/>
    <w:basedOn w:val="1"/>
    <w:qFormat/>
    <w:uiPriority w:val="0"/>
    <w:pPr>
      <w:spacing w:line="360" w:lineRule="auto"/>
    </w:pPr>
    <w:rPr>
      <w:sz w:val="24"/>
    </w:rPr>
  </w:style>
  <w:style w:type="paragraph" w:customStyle="1" w:styleId="96">
    <w:name w:val="2 级标题"/>
    <w:qFormat/>
    <w:uiPriority w:val="0"/>
    <w:pPr>
      <w:keepNext/>
      <w:keepLines/>
      <w:widowControl w:val="0"/>
      <w:numPr>
        <w:ilvl w:val="1"/>
        <w:numId w:val="1"/>
      </w:numPr>
      <w:tabs>
        <w:tab w:val="left" w:pos="567"/>
      </w:tabs>
      <w:spacing w:before="120" w:after="120" w:line="360" w:lineRule="auto"/>
      <w:ind w:right="13" w:rightChars="13"/>
      <w:outlineLvl w:val="1"/>
    </w:pPr>
    <w:rPr>
      <w:rFonts w:ascii="Arial" w:hAnsi="Arial" w:eastAsia="黑体" w:cs="Times New Roman"/>
      <w:b/>
      <w:bCs/>
      <w:kern w:val="2"/>
      <w:sz w:val="32"/>
      <w:szCs w:val="32"/>
      <w:lang w:val="en-US" w:eastAsia="zh-CN" w:bidi="ar-SA"/>
    </w:rPr>
  </w:style>
  <w:style w:type="paragraph" w:customStyle="1" w:styleId="97">
    <w:name w:val="列出段落1"/>
    <w:basedOn w:val="1"/>
    <w:qFormat/>
    <w:uiPriority w:val="34"/>
    <w:pPr>
      <w:widowControl/>
      <w:ind w:left="720"/>
      <w:contextualSpacing/>
      <w:jc w:val="left"/>
    </w:pPr>
    <w:rPr>
      <w:kern w:val="0"/>
      <w:sz w:val="24"/>
      <w:szCs w:val="24"/>
      <w:lang w:eastAsia="en-US" w:bidi="en-US"/>
    </w:rPr>
  </w:style>
  <w:style w:type="paragraph" w:customStyle="1" w:styleId="98">
    <w:name w:val="样式 正文（缩进） + (中文) 楷体_GB2312"/>
    <w:basedOn w:val="44"/>
    <w:qFormat/>
    <w:uiPriority w:val="0"/>
    <w:pPr>
      <w:ind w:left="-2" w:leftChars="-1" w:firstLine="567" w:firstLineChars="0"/>
      <w:jc w:val="left"/>
    </w:pPr>
    <w:rPr>
      <w:rFonts w:eastAsia="楷体_GB2312"/>
      <w:sz w:val="28"/>
      <w:szCs w:val="28"/>
    </w:rPr>
  </w:style>
  <w:style w:type="paragraph" w:customStyle="1" w:styleId="99">
    <w:name w:val="样式 样式 样式 样式 首行缩进:  2 字符 + 首行缩进:  2 字符2 + 首行缩进:  2 字符 + 楷体_GB2312"/>
    <w:basedOn w:val="1"/>
    <w:qFormat/>
    <w:uiPriority w:val="0"/>
    <w:pPr>
      <w:spacing w:before="100" w:after="100" w:line="360" w:lineRule="auto"/>
      <w:ind w:firstLine="480" w:firstLineChars="200"/>
    </w:pPr>
    <w:rPr>
      <w:rFonts w:ascii="楷体_GB2312" w:hAnsi="楷体_GB2312" w:eastAsia="楷体_GB2312" w:cs="宋体"/>
      <w:sz w:val="24"/>
    </w:rPr>
  </w:style>
  <w:style w:type="paragraph" w:customStyle="1" w:styleId="100">
    <w:name w:val="正文表标题"/>
    <w:next w:val="101"/>
    <w:qFormat/>
    <w:uiPriority w:val="0"/>
    <w:pPr>
      <w:numPr>
        <w:ilvl w:val="0"/>
        <w:numId w:val="2"/>
      </w:numPr>
      <w:spacing w:before="156" w:beforeLines="50" w:after="156" w:afterLines="50"/>
      <w:jc w:val="center"/>
    </w:pPr>
    <w:rPr>
      <w:rFonts w:ascii="黑体" w:hAnsi="Times New Roman" w:eastAsia="黑体" w:cs="Times New Roman"/>
      <w:sz w:val="21"/>
      <w:lang w:val="en-US" w:eastAsia="zh-CN" w:bidi="ar-SA"/>
    </w:rPr>
  </w:style>
  <w:style w:type="paragraph" w:customStyle="1" w:styleId="10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2">
    <w:name w:val="二级无"/>
    <w:basedOn w:val="103"/>
    <w:qFormat/>
    <w:uiPriority w:val="0"/>
    <w:pPr>
      <w:spacing w:before="0" w:beforeLines="0" w:after="0" w:afterLines="0"/>
    </w:pPr>
    <w:rPr>
      <w:rFonts w:ascii="宋体" w:eastAsia="宋体"/>
    </w:rPr>
  </w:style>
  <w:style w:type="paragraph" w:customStyle="1" w:styleId="103">
    <w:name w:val="二级条标题"/>
    <w:basedOn w:val="104"/>
    <w:next w:val="101"/>
    <w:qFormat/>
    <w:uiPriority w:val="0"/>
    <w:pPr>
      <w:numPr>
        <w:ilvl w:val="2"/>
      </w:numPr>
      <w:spacing w:before="50" w:after="50"/>
      <w:outlineLvl w:val="3"/>
    </w:pPr>
  </w:style>
  <w:style w:type="paragraph" w:customStyle="1" w:styleId="104">
    <w:name w:val="一级条标题"/>
    <w:next w:val="101"/>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05">
    <w:name w:val="三级无"/>
    <w:basedOn w:val="106"/>
    <w:qFormat/>
    <w:uiPriority w:val="0"/>
    <w:pPr>
      <w:numPr>
        <w:numId w:val="2"/>
      </w:numPr>
      <w:tabs>
        <w:tab w:val="left" w:pos="1984"/>
      </w:tabs>
      <w:spacing w:before="0" w:beforeLines="0" w:after="0" w:afterLines="0"/>
    </w:pPr>
    <w:rPr>
      <w:rFonts w:ascii="宋体" w:eastAsia="宋体"/>
    </w:rPr>
  </w:style>
  <w:style w:type="paragraph" w:customStyle="1" w:styleId="106">
    <w:name w:val="三级条标题"/>
    <w:basedOn w:val="103"/>
    <w:next w:val="101"/>
    <w:qFormat/>
    <w:uiPriority w:val="0"/>
    <w:pPr>
      <w:numPr>
        <w:ilvl w:val="3"/>
      </w:numPr>
      <w:outlineLvl w:val="4"/>
    </w:pPr>
  </w:style>
  <w:style w:type="paragraph" w:customStyle="1" w:styleId="107">
    <w:name w:val="正文首行缩进 21"/>
    <w:basedOn w:val="11"/>
    <w:unhideWhenUsed/>
    <w:qFormat/>
    <w:uiPriority w:val="99"/>
    <w:pPr>
      <w:ind w:firstLine="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18647</Words>
  <Characters>19503</Characters>
  <Lines>111</Lines>
  <Paragraphs>31</Paragraphs>
  <TotalTime>4</TotalTime>
  <ScaleCrop>false</ScaleCrop>
  <LinksUpToDate>false</LinksUpToDate>
  <CharactersWithSpaces>19942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2023-07-27T01:54:00Z</dcterms:created>
  <dc:creator>User</dc:creator>
  <cp:lastModifiedBy>香蕉你个卜呐呐～</cp:lastModifiedBy>
  <cp:lastPrinted>2024-01-10T02:35:00Z</cp:lastPrinted>
  <dcterms:modified xsi:type="dcterms:W3CDTF">2024-10-11T08:19:50Z</dcterms:modified>
  <dc:title>南通市环境监测中心站火焰原子吸收光谱仪项目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F0B2F25D009E40D08ACEA85871BBD221_13</vt:lpwstr>
  </property>
</Properties>
</file>