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B23C0">
      <w:pPr>
        <w:spacing w:line="360" w:lineRule="auto"/>
        <w:jc w:val="center"/>
        <w:rPr>
          <w:rFonts w:hint="eastAsia" w:ascii="宋体" w:hAnsi="宋体" w:eastAsia="宋体"/>
          <w:b/>
          <w:sz w:val="48"/>
          <w:szCs w:val="48"/>
          <w:highlight w:val="none"/>
          <w:lang w:eastAsia="zh-CN"/>
        </w:rPr>
      </w:pPr>
      <w:r>
        <w:rPr>
          <w:rFonts w:hint="eastAsia" w:ascii="宋体" w:hAnsi="宋体"/>
          <w:b/>
          <w:sz w:val="48"/>
          <w:szCs w:val="48"/>
          <w:highlight w:val="none"/>
          <w:lang w:eastAsia="zh-CN"/>
        </w:rPr>
        <w:t>江苏省南通卫生高等职业技术学校药学系中药炮制实验室项目</w:t>
      </w:r>
    </w:p>
    <w:p w14:paraId="62ACC0B0">
      <w:pPr>
        <w:spacing w:line="360" w:lineRule="auto"/>
        <w:jc w:val="center"/>
        <w:rPr>
          <w:rFonts w:ascii="仿宋" w:hAnsi="仿宋" w:eastAsia="仿宋"/>
          <w:b/>
          <w:sz w:val="100"/>
          <w:szCs w:val="100"/>
          <w:highlight w:val="none"/>
        </w:rPr>
      </w:pPr>
    </w:p>
    <w:p w14:paraId="5D796D82">
      <w:pPr>
        <w:spacing w:line="360" w:lineRule="auto"/>
        <w:jc w:val="center"/>
        <w:rPr>
          <w:rFonts w:ascii="仿宋" w:hAnsi="仿宋" w:eastAsia="仿宋"/>
          <w:b/>
          <w:color w:val="000000"/>
          <w:sz w:val="100"/>
          <w:szCs w:val="100"/>
          <w:highlight w:val="none"/>
        </w:rPr>
      </w:pPr>
      <w:r>
        <w:rPr>
          <w:rFonts w:hint="eastAsia" w:ascii="仿宋" w:hAnsi="仿宋" w:eastAsia="仿宋"/>
          <w:b/>
          <w:color w:val="000000"/>
          <w:sz w:val="100"/>
          <w:szCs w:val="100"/>
          <w:highlight w:val="none"/>
        </w:rPr>
        <w:t>磋商采购文件</w:t>
      </w:r>
    </w:p>
    <w:p w14:paraId="0C57DFA3">
      <w:pPr>
        <w:keepNext/>
        <w:spacing w:line="360" w:lineRule="auto"/>
        <w:jc w:val="center"/>
        <w:rPr>
          <w:rFonts w:ascii="仿宋" w:hAnsi="仿宋" w:eastAsia="仿宋"/>
          <w:b/>
          <w:color w:val="000000"/>
          <w:kern w:val="0"/>
          <w:sz w:val="36"/>
          <w:szCs w:val="36"/>
          <w:highlight w:val="none"/>
        </w:rPr>
      </w:pPr>
      <w:r>
        <w:rPr>
          <w:rFonts w:hint="eastAsia" w:ascii="仿宋" w:hAnsi="仿宋" w:eastAsia="仿宋"/>
          <w:b/>
          <w:color w:val="000000"/>
          <w:kern w:val="0"/>
          <w:sz w:val="36"/>
          <w:szCs w:val="36"/>
          <w:highlight w:val="none"/>
        </w:rPr>
        <w:t>采购文件编号：WXBS2024074</w:t>
      </w:r>
    </w:p>
    <w:p w14:paraId="4F9237A8">
      <w:pPr>
        <w:spacing w:line="360" w:lineRule="auto"/>
        <w:jc w:val="center"/>
        <w:rPr>
          <w:rFonts w:ascii="仿宋" w:hAnsi="仿宋" w:eastAsia="仿宋"/>
          <w:b/>
          <w:sz w:val="36"/>
          <w:highlight w:val="none"/>
        </w:rPr>
      </w:pPr>
    </w:p>
    <w:p w14:paraId="3EC32B94">
      <w:pPr>
        <w:spacing w:line="360" w:lineRule="auto"/>
        <w:rPr>
          <w:rFonts w:ascii="仿宋" w:hAnsi="仿宋" w:eastAsia="仿宋"/>
          <w:highlight w:val="none"/>
        </w:rPr>
      </w:pPr>
    </w:p>
    <w:p w14:paraId="5F11D472">
      <w:pPr>
        <w:spacing w:line="360" w:lineRule="auto"/>
        <w:jc w:val="center"/>
        <w:rPr>
          <w:rFonts w:ascii="仿宋" w:hAnsi="仿宋" w:eastAsia="仿宋"/>
          <w:sz w:val="32"/>
          <w:highlight w:val="none"/>
        </w:rPr>
      </w:pPr>
    </w:p>
    <w:p w14:paraId="4D371312">
      <w:pPr>
        <w:pStyle w:val="56"/>
        <w:spacing w:line="360" w:lineRule="auto"/>
        <w:ind w:firstLine="640"/>
        <w:rPr>
          <w:rFonts w:ascii="仿宋" w:hAnsi="仿宋" w:eastAsia="仿宋"/>
          <w:sz w:val="32"/>
          <w:highlight w:val="none"/>
        </w:rPr>
      </w:pPr>
    </w:p>
    <w:p w14:paraId="4BBA5C52">
      <w:pPr>
        <w:pStyle w:val="49"/>
        <w:ind w:firstLine="613"/>
        <w:rPr>
          <w:rFonts w:ascii="仿宋" w:hAnsi="仿宋" w:eastAsia="仿宋"/>
          <w:sz w:val="32"/>
          <w:highlight w:val="none"/>
        </w:rPr>
      </w:pPr>
    </w:p>
    <w:p w14:paraId="1164BB09">
      <w:pPr>
        <w:pStyle w:val="29"/>
        <w:rPr>
          <w:rFonts w:ascii="仿宋" w:hAnsi="仿宋" w:eastAsia="仿宋"/>
          <w:sz w:val="32"/>
          <w:highlight w:val="none"/>
        </w:rPr>
      </w:pPr>
    </w:p>
    <w:p w14:paraId="770809FA">
      <w:pPr>
        <w:rPr>
          <w:highlight w:val="none"/>
        </w:rPr>
      </w:pPr>
    </w:p>
    <w:p w14:paraId="73BB11A7">
      <w:pPr>
        <w:pStyle w:val="49"/>
        <w:rPr>
          <w:highlight w:val="none"/>
        </w:rPr>
      </w:pPr>
    </w:p>
    <w:p w14:paraId="20083AD7">
      <w:pPr>
        <w:pStyle w:val="29"/>
        <w:rPr>
          <w:highlight w:val="none"/>
        </w:rPr>
      </w:pPr>
    </w:p>
    <w:p w14:paraId="4F602FC0">
      <w:pPr>
        <w:rPr>
          <w:highlight w:val="none"/>
        </w:rPr>
      </w:pPr>
    </w:p>
    <w:p w14:paraId="318B08AE">
      <w:pPr>
        <w:pStyle w:val="73"/>
        <w:rPr>
          <w:highlight w:val="none"/>
        </w:rPr>
      </w:pPr>
    </w:p>
    <w:p w14:paraId="4ACBF56D">
      <w:pPr>
        <w:pStyle w:val="29"/>
        <w:rPr>
          <w:highlight w:val="none"/>
        </w:rPr>
      </w:pPr>
    </w:p>
    <w:p w14:paraId="630B38B3">
      <w:pPr>
        <w:spacing w:line="360" w:lineRule="auto"/>
        <w:jc w:val="center"/>
        <w:rPr>
          <w:rFonts w:ascii="仿宋" w:hAnsi="仿宋" w:eastAsia="仿宋"/>
          <w:b/>
          <w:spacing w:val="20"/>
          <w:sz w:val="32"/>
          <w:szCs w:val="20"/>
          <w:highlight w:val="none"/>
        </w:rPr>
      </w:pPr>
      <w:r>
        <w:rPr>
          <w:rFonts w:hint="eastAsia" w:ascii="仿宋" w:hAnsi="仿宋" w:eastAsia="仿宋"/>
          <w:b/>
          <w:spacing w:val="20"/>
          <w:sz w:val="32"/>
          <w:szCs w:val="20"/>
          <w:highlight w:val="none"/>
        </w:rPr>
        <w:t>采购单位：江苏省南通卫生高等职业技术学校</w:t>
      </w:r>
    </w:p>
    <w:p w14:paraId="704AB212">
      <w:pPr>
        <w:spacing w:before="120" w:after="120" w:line="360" w:lineRule="auto"/>
        <w:ind w:left="-2" w:right="120"/>
        <w:jc w:val="center"/>
        <w:rPr>
          <w:rFonts w:ascii="仿宋" w:hAnsi="仿宋" w:eastAsia="仿宋"/>
          <w:b/>
          <w:bCs/>
          <w:kern w:val="0"/>
          <w:sz w:val="32"/>
          <w:highlight w:val="none"/>
        </w:rPr>
      </w:pPr>
      <w:r>
        <w:rPr>
          <w:rFonts w:hint="eastAsia" w:ascii="仿宋" w:hAnsi="仿宋" w:eastAsia="仿宋"/>
          <w:b/>
          <w:bCs/>
          <w:kern w:val="0"/>
          <w:sz w:val="32"/>
          <w:highlight w:val="none"/>
        </w:rPr>
        <w:t>2024年</w:t>
      </w:r>
      <w:r>
        <w:rPr>
          <w:rFonts w:hint="eastAsia" w:ascii="仿宋" w:hAnsi="仿宋" w:eastAsia="仿宋"/>
          <w:b/>
          <w:bCs/>
          <w:kern w:val="0"/>
          <w:sz w:val="32"/>
          <w:highlight w:val="none"/>
          <w:lang w:val="en-US" w:eastAsia="zh-CN"/>
        </w:rPr>
        <w:t>7</w:t>
      </w:r>
      <w:r>
        <w:rPr>
          <w:rFonts w:hint="eastAsia" w:ascii="仿宋" w:hAnsi="仿宋" w:eastAsia="仿宋"/>
          <w:b/>
          <w:bCs/>
          <w:kern w:val="0"/>
          <w:sz w:val="32"/>
          <w:highlight w:val="none"/>
        </w:rPr>
        <w:t>月</w:t>
      </w:r>
    </w:p>
    <w:p w14:paraId="6EFD458B">
      <w:pPr>
        <w:autoSpaceDE w:val="0"/>
        <w:autoSpaceDN w:val="0"/>
        <w:snapToGrid w:val="0"/>
        <w:spacing w:line="360" w:lineRule="auto"/>
        <w:jc w:val="center"/>
        <w:rPr>
          <w:rFonts w:ascii="仿宋" w:hAnsi="仿宋" w:eastAsia="仿宋"/>
          <w:sz w:val="44"/>
          <w:szCs w:val="44"/>
          <w:highlight w:val="none"/>
          <w:lang w:val="zh-CN"/>
        </w:rPr>
      </w:pPr>
      <w:r>
        <w:rPr>
          <w:rFonts w:hint="eastAsia" w:ascii="仿宋" w:hAnsi="仿宋" w:eastAsia="仿宋"/>
          <w:sz w:val="44"/>
          <w:szCs w:val="44"/>
          <w:highlight w:val="none"/>
          <w:lang w:val="zh-CN"/>
        </w:rPr>
        <w:br w:type="page"/>
      </w:r>
      <w:r>
        <w:rPr>
          <w:rFonts w:hint="eastAsia" w:ascii="仿宋" w:hAnsi="仿宋" w:eastAsia="仿宋"/>
          <w:sz w:val="44"/>
          <w:szCs w:val="44"/>
          <w:highlight w:val="none"/>
          <w:lang w:val="zh-CN"/>
        </w:rPr>
        <w:t xml:space="preserve">目 </w:t>
      </w:r>
      <w:r>
        <w:rPr>
          <w:rFonts w:hint="eastAsia" w:ascii="仿宋" w:hAnsi="仿宋" w:eastAsia="仿宋"/>
          <w:sz w:val="44"/>
          <w:szCs w:val="44"/>
          <w:highlight w:val="none"/>
        </w:rPr>
        <w:t xml:space="preserve">  </w:t>
      </w:r>
      <w:r>
        <w:rPr>
          <w:rFonts w:hint="eastAsia" w:ascii="仿宋" w:hAnsi="仿宋" w:eastAsia="仿宋"/>
          <w:sz w:val="44"/>
          <w:szCs w:val="44"/>
          <w:highlight w:val="none"/>
          <w:lang w:val="zh-CN"/>
        </w:rPr>
        <w:t>录</w:t>
      </w:r>
    </w:p>
    <w:p w14:paraId="54B9F7C0">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第一部分  磋商公告</w:t>
      </w:r>
    </w:p>
    <w:p w14:paraId="40AC9517">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第二部分  磋商须知</w:t>
      </w:r>
    </w:p>
    <w:p w14:paraId="794CC279">
      <w:pPr>
        <w:autoSpaceDE w:val="0"/>
        <w:autoSpaceDN w:val="0"/>
        <w:snapToGrid w:val="0"/>
        <w:spacing w:line="1000" w:lineRule="exact"/>
        <w:ind w:firstLine="537"/>
        <w:rPr>
          <w:rFonts w:ascii="仿宋" w:hAnsi="仿宋" w:eastAsia="仿宋"/>
          <w:sz w:val="32"/>
          <w:szCs w:val="32"/>
          <w:highlight w:val="none"/>
        </w:rPr>
      </w:pPr>
      <w:r>
        <w:rPr>
          <w:rFonts w:hint="eastAsia" w:ascii="仿宋" w:hAnsi="仿宋" w:eastAsia="仿宋"/>
          <w:sz w:val="32"/>
          <w:szCs w:val="32"/>
          <w:highlight w:val="none"/>
        </w:rPr>
        <w:t>第三部分  项目需求</w:t>
      </w:r>
    </w:p>
    <w:p w14:paraId="7DC6C675">
      <w:pPr>
        <w:autoSpaceDE w:val="0"/>
        <w:autoSpaceDN w:val="0"/>
        <w:snapToGrid w:val="0"/>
        <w:spacing w:line="1000" w:lineRule="exact"/>
        <w:ind w:firstLine="537"/>
        <w:rPr>
          <w:rFonts w:ascii="仿宋" w:hAnsi="仿宋" w:eastAsia="仿宋"/>
          <w:sz w:val="32"/>
          <w:szCs w:val="32"/>
          <w:highlight w:val="none"/>
        </w:rPr>
      </w:pPr>
      <w:r>
        <w:rPr>
          <w:rFonts w:hint="eastAsia" w:ascii="仿宋" w:hAnsi="仿宋" w:eastAsia="仿宋"/>
          <w:sz w:val="32"/>
          <w:szCs w:val="32"/>
          <w:highlight w:val="none"/>
        </w:rPr>
        <w:t>第四部分  评审方法和评审标准</w:t>
      </w:r>
    </w:p>
    <w:p w14:paraId="4332F704">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第五部分  响应文件组成</w:t>
      </w:r>
    </w:p>
    <w:p w14:paraId="57FC1536">
      <w:pPr>
        <w:tabs>
          <w:tab w:val="left" w:pos="7740"/>
        </w:tabs>
        <w:spacing w:line="360" w:lineRule="auto"/>
        <w:rPr>
          <w:rFonts w:ascii="仿宋" w:hAnsi="仿宋" w:eastAsia="仿宋"/>
          <w:bCs/>
          <w:sz w:val="32"/>
          <w:szCs w:val="32"/>
          <w:highlight w:val="none"/>
        </w:rPr>
      </w:pPr>
    </w:p>
    <w:p w14:paraId="74E1F90D">
      <w:pPr>
        <w:tabs>
          <w:tab w:val="left" w:pos="7740"/>
        </w:tabs>
        <w:spacing w:line="360" w:lineRule="auto"/>
        <w:rPr>
          <w:rFonts w:ascii="仿宋" w:hAnsi="仿宋" w:eastAsia="仿宋"/>
          <w:bCs/>
          <w:sz w:val="32"/>
          <w:szCs w:val="32"/>
          <w:highlight w:val="none"/>
        </w:rPr>
      </w:pPr>
    </w:p>
    <w:p w14:paraId="6982CB93">
      <w:pPr>
        <w:autoSpaceDE w:val="0"/>
        <w:autoSpaceDN w:val="0"/>
        <w:spacing w:line="360" w:lineRule="auto"/>
        <w:jc w:val="center"/>
        <w:rPr>
          <w:rFonts w:ascii="仿宋" w:hAnsi="仿宋" w:eastAsia="仿宋"/>
          <w:b/>
          <w:bCs/>
          <w:sz w:val="36"/>
          <w:szCs w:val="36"/>
          <w:highlight w:val="none"/>
          <w:lang w:val="zh-CN"/>
        </w:rPr>
      </w:pPr>
    </w:p>
    <w:p w14:paraId="311F58CD">
      <w:pPr>
        <w:autoSpaceDE w:val="0"/>
        <w:autoSpaceDN w:val="0"/>
        <w:spacing w:line="360" w:lineRule="auto"/>
        <w:rPr>
          <w:rFonts w:ascii="仿宋" w:hAnsi="仿宋" w:eastAsia="仿宋"/>
          <w:b/>
          <w:bCs/>
          <w:sz w:val="36"/>
          <w:szCs w:val="36"/>
          <w:highlight w:val="none"/>
          <w:lang w:val="zh-CN"/>
        </w:rPr>
      </w:pPr>
    </w:p>
    <w:p w14:paraId="5C1B7283">
      <w:pPr>
        <w:autoSpaceDE w:val="0"/>
        <w:autoSpaceDN w:val="0"/>
        <w:spacing w:line="360" w:lineRule="auto"/>
        <w:jc w:val="center"/>
        <w:rPr>
          <w:rFonts w:ascii="仿宋" w:hAnsi="仿宋" w:eastAsia="仿宋"/>
          <w:b/>
          <w:bCs/>
          <w:sz w:val="36"/>
          <w:szCs w:val="36"/>
          <w:highlight w:val="none"/>
          <w:lang w:val="zh-CN"/>
        </w:rPr>
      </w:pPr>
    </w:p>
    <w:p w14:paraId="407790E2">
      <w:pPr>
        <w:autoSpaceDE w:val="0"/>
        <w:autoSpaceDN w:val="0"/>
        <w:spacing w:line="360" w:lineRule="auto"/>
        <w:jc w:val="center"/>
        <w:rPr>
          <w:rFonts w:ascii="仿宋" w:hAnsi="仿宋" w:eastAsia="仿宋"/>
          <w:b/>
          <w:bCs/>
          <w:sz w:val="36"/>
          <w:szCs w:val="36"/>
          <w:highlight w:val="none"/>
          <w:lang w:val="zh-CN"/>
        </w:rPr>
      </w:pPr>
    </w:p>
    <w:p w14:paraId="5764E4D0">
      <w:pPr>
        <w:autoSpaceDE w:val="0"/>
        <w:autoSpaceDN w:val="0"/>
        <w:spacing w:line="360" w:lineRule="auto"/>
        <w:jc w:val="center"/>
        <w:rPr>
          <w:rFonts w:ascii="仿宋" w:hAnsi="仿宋" w:eastAsia="仿宋"/>
          <w:b/>
          <w:bCs/>
          <w:sz w:val="36"/>
          <w:szCs w:val="36"/>
          <w:highlight w:val="none"/>
          <w:lang w:val="zh-CN"/>
        </w:rPr>
      </w:pPr>
    </w:p>
    <w:p w14:paraId="3D6C209B">
      <w:pPr>
        <w:autoSpaceDE w:val="0"/>
        <w:autoSpaceDN w:val="0"/>
        <w:spacing w:line="360" w:lineRule="auto"/>
        <w:jc w:val="center"/>
        <w:rPr>
          <w:rFonts w:ascii="仿宋" w:hAnsi="仿宋" w:eastAsia="仿宋"/>
          <w:b/>
          <w:bCs/>
          <w:sz w:val="36"/>
          <w:szCs w:val="36"/>
          <w:highlight w:val="none"/>
          <w:lang w:val="zh-CN"/>
        </w:rPr>
      </w:pPr>
    </w:p>
    <w:p w14:paraId="56940B32">
      <w:pPr>
        <w:autoSpaceDE w:val="0"/>
        <w:autoSpaceDN w:val="0"/>
        <w:spacing w:line="360" w:lineRule="auto"/>
        <w:jc w:val="center"/>
        <w:rPr>
          <w:rFonts w:ascii="仿宋" w:hAnsi="仿宋" w:eastAsia="仿宋"/>
          <w:b/>
          <w:bCs/>
          <w:sz w:val="36"/>
          <w:szCs w:val="36"/>
          <w:highlight w:val="none"/>
          <w:lang w:val="zh-CN"/>
        </w:rPr>
      </w:pPr>
    </w:p>
    <w:p w14:paraId="21186023">
      <w:pPr>
        <w:autoSpaceDE w:val="0"/>
        <w:autoSpaceDN w:val="0"/>
        <w:spacing w:line="360" w:lineRule="auto"/>
        <w:jc w:val="center"/>
        <w:rPr>
          <w:rFonts w:ascii="仿宋" w:hAnsi="仿宋" w:eastAsia="仿宋"/>
          <w:b/>
          <w:bCs/>
          <w:sz w:val="36"/>
          <w:szCs w:val="36"/>
          <w:highlight w:val="none"/>
          <w:lang w:val="zh-CN"/>
        </w:rPr>
      </w:pPr>
    </w:p>
    <w:p w14:paraId="7986525C">
      <w:pPr>
        <w:autoSpaceDE w:val="0"/>
        <w:autoSpaceDN w:val="0"/>
        <w:spacing w:line="360" w:lineRule="auto"/>
        <w:jc w:val="center"/>
        <w:rPr>
          <w:rFonts w:ascii="仿宋" w:hAnsi="仿宋" w:eastAsia="仿宋"/>
          <w:b/>
          <w:bCs/>
          <w:sz w:val="36"/>
          <w:szCs w:val="36"/>
          <w:highlight w:val="none"/>
          <w:lang w:val="zh-CN"/>
        </w:rPr>
      </w:pPr>
    </w:p>
    <w:p w14:paraId="0D0E9A3A">
      <w:pPr>
        <w:autoSpaceDE w:val="0"/>
        <w:autoSpaceDN w:val="0"/>
        <w:snapToGrid w:val="0"/>
        <w:spacing w:line="360" w:lineRule="auto"/>
        <w:jc w:val="center"/>
        <w:rPr>
          <w:rFonts w:ascii="仿宋" w:hAnsi="仿宋" w:eastAsia="仿宋"/>
          <w:sz w:val="36"/>
          <w:szCs w:val="36"/>
          <w:highlight w:val="none"/>
          <w:lang w:val="zh-CN"/>
        </w:rPr>
      </w:pPr>
    </w:p>
    <w:p w14:paraId="11847012">
      <w:pPr>
        <w:autoSpaceDE w:val="0"/>
        <w:autoSpaceDN w:val="0"/>
        <w:snapToGrid w:val="0"/>
        <w:spacing w:line="360" w:lineRule="auto"/>
        <w:jc w:val="center"/>
        <w:rPr>
          <w:rFonts w:ascii="仿宋" w:hAnsi="仿宋" w:eastAsia="仿宋"/>
          <w:sz w:val="36"/>
          <w:szCs w:val="36"/>
          <w:highlight w:val="none"/>
          <w:lang w:val="zh-CN"/>
        </w:rPr>
      </w:pPr>
    </w:p>
    <w:p w14:paraId="5B94B727">
      <w:pPr>
        <w:autoSpaceDE w:val="0"/>
        <w:autoSpaceDN w:val="0"/>
        <w:snapToGrid w:val="0"/>
        <w:spacing w:line="360" w:lineRule="auto"/>
        <w:jc w:val="center"/>
        <w:rPr>
          <w:rFonts w:ascii="仿宋" w:hAnsi="仿宋" w:eastAsia="仿宋"/>
          <w:sz w:val="36"/>
          <w:szCs w:val="36"/>
          <w:highlight w:val="none"/>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7A1DB079">
      <w:pPr>
        <w:autoSpaceDE w:val="0"/>
        <w:autoSpaceDN w:val="0"/>
        <w:snapToGrid w:val="0"/>
        <w:spacing w:line="360" w:lineRule="auto"/>
        <w:jc w:val="center"/>
        <w:outlineLvl w:val="0"/>
        <w:rPr>
          <w:rFonts w:ascii="仿宋" w:hAnsi="仿宋" w:eastAsia="仿宋"/>
          <w:sz w:val="36"/>
          <w:szCs w:val="36"/>
          <w:highlight w:val="none"/>
          <w:lang w:val="zh-CN"/>
        </w:rPr>
      </w:pPr>
      <w:r>
        <w:rPr>
          <w:rFonts w:hint="eastAsia" w:ascii="仿宋" w:hAnsi="仿宋" w:eastAsia="仿宋"/>
          <w:sz w:val="36"/>
          <w:szCs w:val="36"/>
          <w:highlight w:val="none"/>
          <w:lang w:val="zh-CN"/>
        </w:rPr>
        <w:t>第一部分 磋商公告</w:t>
      </w:r>
    </w:p>
    <w:p w14:paraId="21A19B1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受[江苏省南通卫生高等职业技术学校]的委托，江苏中润工程建设咨询有限公司就[</w:t>
      </w:r>
      <w:r>
        <w:rPr>
          <w:rFonts w:hint="eastAsia" w:ascii="仿宋" w:hAnsi="仿宋" w:eastAsia="仿宋"/>
          <w:sz w:val="28"/>
          <w:szCs w:val="28"/>
          <w:highlight w:val="none"/>
          <w:lang w:eastAsia="zh-CN"/>
        </w:rPr>
        <w:t>江苏省南通卫生高等职业技术学校药学系中药炮制实验室项目</w:t>
      </w: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WXBS2024074</w:t>
      </w:r>
      <w:r>
        <w:rPr>
          <w:rFonts w:hint="eastAsia" w:ascii="仿宋" w:hAnsi="仿宋" w:eastAsia="仿宋"/>
          <w:sz w:val="28"/>
          <w:szCs w:val="28"/>
          <w:highlight w:val="none"/>
        </w:rPr>
        <w:t>)进行磋商采购，欢迎符合条件的供应商参加磋商。</w:t>
      </w:r>
    </w:p>
    <w:p w14:paraId="0BAC3CA7">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33396580">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(江苏省南通卫生高等职业技术学校）的（</w:t>
      </w:r>
      <w:r>
        <w:rPr>
          <w:rFonts w:hint="eastAsia" w:ascii="仿宋" w:hAnsi="仿宋" w:eastAsia="仿宋"/>
          <w:sz w:val="28"/>
          <w:szCs w:val="28"/>
          <w:highlight w:val="none"/>
          <w:lang w:eastAsia="zh-CN"/>
        </w:rPr>
        <w:t>江苏省南通卫生高等职业技术学校药学系中药炮制实验室项目</w:t>
      </w:r>
      <w:r>
        <w:rPr>
          <w:rFonts w:hint="eastAsia" w:ascii="仿宋" w:hAnsi="仿宋" w:eastAsia="仿宋"/>
          <w:sz w:val="28"/>
          <w:szCs w:val="28"/>
          <w:highlight w:val="none"/>
        </w:rPr>
        <w:t>)的潜在供应商应在（江苏省南通卫生高等职业技术学校网站或南通市卫生健康委员会网站）获取采购文件，并于2024年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分（北京时间）前提交响应文件。</w:t>
      </w:r>
    </w:p>
    <w:p w14:paraId="2B6C2005">
      <w:pPr>
        <w:widowControl/>
        <w:shd w:val="clear" w:color="auto" w:fill="FFFFFF"/>
        <w:snapToGrid w:val="0"/>
        <w:spacing w:line="460" w:lineRule="exact"/>
        <w:ind w:firstLine="590" w:firstLineChars="200"/>
        <w:outlineLvl w:val="1"/>
        <w:rPr>
          <w:rFonts w:ascii="仿宋" w:hAnsi="仿宋" w:eastAsia="仿宋"/>
          <w:b/>
          <w:spacing w:val="7"/>
          <w:kern w:val="0"/>
          <w:sz w:val="28"/>
          <w:szCs w:val="28"/>
          <w:highlight w:val="none"/>
        </w:rPr>
      </w:pPr>
      <w:r>
        <w:rPr>
          <w:rFonts w:hint="eastAsia" w:ascii="仿宋" w:hAnsi="仿宋" w:eastAsia="仿宋"/>
          <w:b/>
          <w:spacing w:val="7"/>
          <w:kern w:val="0"/>
          <w:sz w:val="28"/>
          <w:szCs w:val="28"/>
          <w:highlight w:val="none"/>
        </w:rPr>
        <w:t>一、项目基本情况</w:t>
      </w:r>
    </w:p>
    <w:p w14:paraId="2699215D">
      <w:pPr>
        <w:snapToGrid w:val="0"/>
        <w:spacing w:line="4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WXBS2024074</w:t>
      </w:r>
    </w:p>
    <w:p w14:paraId="20EC4503">
      <w:pPr>
        <w:snapToGrid w:val="0"/>
        <w:spacing w:line="4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江苏省南通卫生高等职业技术学校药学系中药炮制实验室项目</w:t>
      </w:r>
    </w:p>
    <w:p w14:paraId="0DC453AC">
      <w:pPr>
        <w:snapToGrid w:val="0"/>
        <w:spacing w:line="4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35</w:t>
      </w:r>
      <w:r>
        <w:rPr>
          <w:rFonts w:hint="eastAsia" w:ascii="仿宋" w:hAnsi="仿宋" w:eastAsia="仿宋"/>
          <w:color w:val="000000"/>
          <w:sz w:val="28"/>
          <w:szCs w:val="28"/>
          <w:highlight w:val="none"/>
        </w:rPr>
        <w:t>万</w:t>
      </w:r>
      <w:r>
        <w:rPr>
          <w:rFonts w:hint="eastAsia" w:ascii="仿宋" w:hAnsi="仿宋" w:eastAsia="仿宋"/>
          <w:bCs/>
          <w:color w:val="000000"/>
          <w:sz w:val="28"/>
          <w:szCs w:val="28"/>
          <w:highlight w:val="none"/>
        </w:rPr>
        <w:t>元</w:t>
      </w:r>
    </w:p>
    <w:p w14:paraId="6E3862DD">
      <w:pPr>
        <w:snapToGrid w:val="0"/>
        <w:spacing w:line="4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35</w:t>
      </w:r>
      <w:r>
        <w:rPr>
          <w:rFonts w:hint="eastAsia" w:ascii="仿宋" w:hAnsi="仿宋" w:eastAsia="仿宋"/>
          <w:color w:val="000000"/>
          <w:sz w:val="28"/>
          <w:szCs w:val="28"/>
          <w:highlight w:val="none"/>
        </w:rPr>
        <w:t>万</w:t>
      </w:r>
      <w:r>
        <w:rPr>
          <w:rFonts w:hint="eastAsia" w:ascii="仿宋" w:hAnsi="仿宋" w:eastAsia="仿宋"/>
          <w:bCs/>
          <w:color w:val="000000"/>
          <w:sz w:val="28"/>
          <w:szCs w:val="28"/>
          <w:highlight w:val="none"/>
        </w:rPr>
        <w:t>元</w:t>
      </w:r>
      <w:r>
        <w:rPr>
          <w:rFonts w:hint="eastAsia" w:ascii="仿宋" w:hAnsi="仿宋" w:eastAsia="仿宋"/>
          <w:color w:val="000000"/>
          <w:sz w:val="28"/>
          <w:szCs w:val="28"/>
          <w:highlight w:val="none"/>
          <w:lang w:val="en-US" w:eastAsia="zh-CN"/>
        </w:rPr>
        <w:t>。</w:t>
      </w:r>
      <w:r>
        <w:rPr>
          <w:rFonts w:hint="eastAsia" w:ascii="仿宋" w:hAnsi="仿宋" w:eastAsia="仿宋"/>
          <w:color w:val="000000"/>
          <w:sz w:val="28"/>
          <w:szCs w:val="28"/>
          <w:highlight w:val="none"/>
        </w:rPr>
        <w:t>投标报价超过本项目最高限价，作无效报价处理。</w:t>
      </w:r>
    </w:p>
    <w:p w14:paraId="6839A9E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采购需求：详见</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文件，请仔细研究。</w:t>
      </w:r>
    </w:p>
    <w:p w14:paraId="2C6318FA">
      <w:pPr>
        <w:snapToGrid w:val="0"/>
        <w:spacing w:line="46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合同签订后40个工作日内完成供货及调试完毕。</w:t>
      </w:r>
    </w:p>
    <w:p w14:paraId="14DA99A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本项目是否接受联合体投标：否。</w:t>
      </w:r>
    </w:p>
    <w:p w14:paraId="3323924B">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二、供应商的资格要求：</w:t>
      </w:r>
    </w:p>
    <w:p w14:paraId="35E6775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066A04A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2.提供有效的营业执照复印件加盖公章；</w:t>
      </w:r>
    </w:p>
    <w:p w14:paraId="0AFB9AB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3.未被“信用中国”网站列入失信被执行人、重大税收违法案件当事人名单、采购严重失信行为记录名单。</w:t>
      </w:r>
    </w:p>
    <w:p w14:paraId="5C70B2A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4.本项目的特定资格要求：无；</w:t>
      </w:r>
    </w:p>
    <w:p w14:paraId="56FA54C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5.供应商单位负责人为同一人或者存在直接控股、管理关系的不同供应商，不得同时参加同一合同项下的采购活动。</w:t>
      </w:r>
    </w:p>
    <w:p w14:paraId="73B33676">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三、获取采购文件</w:t>
      </w:r>
    </w:p>
    <w:p w14:paraId="1DD433B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时间：2024年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日至2024年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日（北京时间，法定节假日除外）；</w:t>
      </w:r>
    </w:p>
    <w:p w14:paraId="3E6A20C7">
      <w:pPr>
        <w:snapToGrid w:val="0"/>
        <w:spacing w:line="460" w:lineRule="exact"/>
        <w:ind w:firstLine="560" w:firstLineChars="200"/>
        <w:outlineLvl w:val="1"/>
        <w:rPr>
          <w:rFonts w:ascii="仿宋" w:hAnsi="仿宋" w:eastAsia="仿宋"/>
          <w:sz w:val="28"/>
          <w:szCs w:val="28"/>
          <w:highlight w:val="none"/>
        </w:rPr>
      </w:pPr>
      <w:r>
        <w:rPr>
          <w:rFonts w:hint="eastAsia" w:ascii="仿宋" w:hAnsi="仿宋" w:eastAsia="仿宋"/>
          <w:sz w:val="28"/>
          <w:szCs w:val="28"/>
          <w:highlight w:val="none"/>
        </w:rPr>
        <w:t>地点：江苏省南通卫生高等职业技术学校网站或南通市卫生健康委员会网站；</w:t>
      </w:r>
    </w:p>
    <w:p w14:paraId="30FE0F2A">
      <w:pPr>
        <w:snapToGrid w:val="0"/>
        <w:spacing w:line="460" w:lineRule="exact"/>
        <w:ind w:firstLine="560" w:firstLineChars="200"/>
        <w:outlineLvl w:val="1"/>
        <w:rPr>
          <w:rFonts w:ascii="仿宋" w:hAnsi="仿宋" w:eastAsia="仿宋"/>
          <w:sz w:val="28"/>
          <w:szCs w:val="28"/>
          <w:highlight w:val="none"/>
        </w:rPr>
      </w:pPr>
      <w:r>
        <w:rPr>
          <w:rFonts w:hint="eastAsia" w:ascii="仿宋" w:hAnsi="仿宋" w:eastAsia="仿宋"/>
          <w:sz w:val="28"/>
          <w:szCs w:val="28"/>
          <w:highlight w:val="none"/>
        </w:rPr>
        <w:t>方式：自行下载采购文件。</w:t>
      </w:r>
    </w:p>
    <w:p w14:paraId="77062BC2">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四、提交响应文件截止时间、磋商时间和地点</w:t>
      </w:r>
    </w:p>
    <w:p w14:paraId="4280E80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分（北京时间），逾时，采购人将拒绝接受磋商响应文件。</w:t>
      </w:r>
    </w:p>
    <w:p w14:paraId="07B795E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地点：</w:t>
      </w:r>
      <w:r>
        <w:rPr>
          <w:rFonts w:hint="eastAsia" w:ascii="仿宋" w:hAnsi="仿宋" w:eastAsia="仿宋"/>
          <w:b/>
          <w:bCs/>
          <w:sz w:val="28"/>
          <w:szCs w:val="28"/>
          <w:highlight w:val="none"/>
          <w:u w:val="single"/>
        </w:rPr>
        <w:t>南通市经济技术开发区振兴东路288号</w:t>
      </w:r>
      <w:r>
        <w:rPr>
          <w:rFonts w:hint="eastAsia" w:ascii="仿宋" w:hAnsi="仿宋" w:eastAsia="仿宋"/>
          <w:b/>
          <w:bCs/>
          <w:sz w:val="28"/>
          <w:szCs w:val="28"/>
          <w:highlight w:val="none"/>
          <w:u w:val="single"/>
          <w:lang w:val="zh-CN"/>
        </w:rPr>
        <w:t>南通卫生高职校行政楼1408室，</w:t>
      </w:r>
      <w:r>
        <w:rPr>
          <w:rFonts w:hint="eastAsia" w:ascii="仿宋" w:hAnsi="仿宋" w:eastAsia="仿宋"/>
          <w:sz w:val="28"/>
          <w:szCs w:val="28"/>
          <w:highlight w:val="none"/>
          <w:lang w:val="zh-CN"/>
        </w:rPr>
        <w:t>如有变动另行通知。</w:t>
      </w:r>
    </w:p>
    <w:p w14:paraId="2728D9D4">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五、公告期限</w:t>
      </w:r>
    </w:p>
    <w:p w14:paraId="2E71C40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自本公告发布之日起5个工作日。</w:t>
      </w:r>
    </w:p>
    <w:p w14:paraId="1A51F51E">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六、其他补充事宜</w:t>
      </w:r>
    </w:p>
    <w:p w14:paraId="0749706F">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1.投标保证金：免收</w:t>
      </w:r>
    </w:p>
    <w:p w14:paraId="5F0CB74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2.项目磋商活动模式：见面磋商模式，供应商在</w:t>
      </w:r>
      <w:r>
        <w:rPr>
          <w:rFonts w:hint="eastAsia" w:ascii="仿宋" w:hAnsi="仿宋" w:eastAsia="仿宋"/>
          <w:sz w:val="28"/>
          <w:szCs w:val="28"/>
          <w:highlight w:val="none"/>
          <w:u w:val="single"/>
        </w:rPr>
        <w:t xml:space="preserve"> </w:t>
      </w:r>
      <w:r>
        <w:rPr>
          <w:rFonts w:hint="eastAsia" w:ascii="仿宋" w:hAnsi="仿宋" w:eastAsia="仿宋"/>
          <w:b/>
          <w:bCs/>
          <w:sz w:val="28"/>
          <w:szCs w:val="28"/>
          <w:highlight w:val="none"/>
          <w:u w:val="single"/>
        </w:rPr>
        <w:t>南通市经济技术开发区振兴东路288号</w:t>
      </w:r>
      <w:r>
        <w:rPr>
          <w:rFonts w:hint="eastAsia" w:ascii="仿宋" w:hAnsi="仿宋" w:eastAsia="仿宋"/>
          <w:b/>
          <w:bCs/>
          <w:sz w:val="28"/>
          <w:szCs w:val="28"/>
          <w:highlight w:val="none"/>
          <w:u w:val="single"/>
          <w:lang w:val="zh-CN"/>
        </w:rPr>
        <w:t>南通卫生高职校行政楼1408室</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参加磋商活动。</w:t>
      </w:r>
    </w:p>
    <w:p w14:paraId="5EBD266F">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3.项目</w:t>
      </w:r>
      <w:r>
        <w:rPr>
          <w:rFonts w:hint="eastAsia" w:ascii="仿宋" w:hAnsi="仿宋" w:eastAsia="仿宋"/>
          <w:sz w:val="28"/>
          <w:szCs w:val="28"/>
          <w:highlight w:val="none"/>
          <w:lang w:val="en-US" w:eastAsia="zh-CN"/>
        </w:rPr>
        <w:t>样品</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无</w:t>
      </w:r>
      <w:r>
        <w:rPr>
          <w:rFonts w:hint="eastAsia" w:ascii="仿宋" w:hAnsi="仿宋" w:eastAsia="仿宋"/>
          <w:sz w:val="28"/>
          <w:szCs w:val="28"/>
          <w:highlight w:val="none"/>
        </w:rPr>
        <w:t>。</w:t>
      </w:r>
    </w:p>
    <w:p w14:paraId="3993791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4.对项目需求部分（供应商资格要求、项目需求、商务技术评分标准）的询问、质疑请向采购人提出，由采购人负责答复；对项目磋商文件其它部分的询问请向磋商文件制作人或项目磋商经办人提出。</w:t>
      </w:r>
    </w:p>
    <w:p w14:paraId="76DFD71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67A63DB9">
      <w:pPr>
        <w:widowControl/>
        <w:snapToGrid w:val="0"/>
        <w:spacing w:line="460" w:lineRule="exact"/>
        <w:ind w:firstLine="590" w:firstLineChars="200"/>
        <w:outlineLvl w:val="1"/>
        <w:rPr>
          <w:rFonts w:ascii="仿宋" w:hAnsi="仿宋" w:eastAsia="仿宋"/>
          <w:b/>
          <w:spacing w:val="7"/>
          <w:kern w:val="0"/>
          <w:sz w:val="28"/>
          <w:szCs w:val="28"/>
          <w:highlight w:val="none"/>
        </w:rPr>
      </w:pPr>
      <w:r>
        <w:rPr>
          <w:rFonts w:hint="eastAsia" w:ascii="仿宋" w:hAnsi="仿宋" w:eastAsia="仿宋"/>
          <w:b/>
          <w:spacing w:val="7"/>
          <w:kern w:val="0"/>
          <w:sz w:val="28"/>
          <w:szCs w:val="28"/>
          <w:highlight w:val="none"/>
        </w:rPr>
        <w:t>七、凡对本次采购提出询问，请按以下方式联系。</w:t>
      </w:r>
    </w:p>
    <w:p w14:paraId="722DBE1C">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1.采购人信息</w:t>
      </w:r>
    </w:p>
    <w:p w14:paraId="65841DFF">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名称：江苏省南通卫生高等职业技术学校</w:t>
      </w:r>
    </w:p>
    <w:p w14:paraId="1E8586B5">
      <w:pPr>
        <w:spacing w:line="460" w:lineRule="exact"/>
        <w:ind w:firstLine="588" w:firstLineChars="200"/>
        <w:rPr>
          <w:rFonts w:hint="eastAsia" w:ascii="仿宋" w:hAnsi="仿宋" w:eastAsia="仿宋"/>
          <w:spacing w:val="7"/>
          <w:sz w:val="28"/>
          <w:szCs w:val="28"/>
          <w:highlight w:val="none"/>
        </w:rPr>
      </w:pPr>
      <w:bookmarkStart w:id="0" w:name="_Toc28359020"/>
      <w:bookmarkStart w:id="1" w:name="_Toc28359097"/>
      <w:bookmarkStart w:id="2" w:name="_Toc35393807"/>
      <w:bookmarkStart w:id="3" w:name="_Toc35393638"/>
      <w:r>
        <w:rPr>
          <w:rFonts w:hint="eastAsia" w:ascii="仿宋" w:hAnsi="仿宋" w:eastAsia="仿宋"/>
          <w:spacing w:val="7"/>
          <w:sz w:val="28"/>
          <w:szCs w:val="28"/>
          <w:highlight w:val="none"/>
        </w:rPr>
        <w:t>地址：南通市崇川区南通经济开发区振兴路288号</w:t>
      </w:r>
    </w:p>
    <w:p w14:paraId="70CD051F">
      <w:pPr>
        <w:spacing w:line="460" w:lineRule="exact"/>
        <w:ind w:firstLine="588" w:firstLineChars="200"/>
        <w:rPr>
          <w:rFonts w:hint="eastAsia" w:ascii="仿宋" w:hAnsi="仿宋" w:eastAsia="仿宋"/>
          <w:spacing w:val="7"/>
          <w:sz w:val="28"/>
          <w:szCs w:val="28"/>
          <w:highlight w:val="none"/>
          <w:lang w:eastAsia="zh-CN"/>
        </w:rPr>
      </w:pPr>
      <w:r>
        <w:rPr>
          <w:rFonts w:hint="eastAsia" w:ascii="仿宋" w:hAnsi="仿宋" w:eastAsia="仿宋"/>
          <w:spacing w:val="7"/>
          <w:sz w:val="28"/>
          <w:szCs w:val="28"/>
          <w:highlight w:val="none"/>
        </w:rPr>
        <w:t>采购需求联系人：</w:t>
      </w:r>
      <w:r>
        <w:rPr>
          <w:rFonts w:hint="eastAsia" w:ascii="仿宋" w:hAnsi="仿宋" w:eastAsia="仿宋"/>
          <w:spacing w:val="7"/>
          <w:sz w:val="28"/>
          <w:szCs w:val="28"/>
          <w:highlight w:val="none"/>
          <w:lang w:val="en-US" w:eastAsia="zh-CN"/>
        </w:rPr>
        <w:t xml:space="preserve">徐老师 </w:t>
      </w:r>
      <w:r>
        <w:rPr>
          <w:rFonts w:hint="eastAsia" w:ascii="仿宋" w:hAnsi="仿宋" w:eastAsia="仿宋"/>
          <w:spacing w:val="7"/>
          <w:sz w:val="28"/>
          <w:szCs w:val="28"/>
          <w:highlight w:val="none"/>
        </w:rPr>
        <w:t xml:space="preserve"> 联系电话：13773603639</w:t>
      </w:r>
      <w:r>
        <w:rPr>
          <w:rFonts w:hint="eastAsia" w:ascii="仿宋" w:hAnsi="仿宋" w:eastAsia="仿宋"/>
          <w:spacing w:val="7"/>
          <w:sz w:val="28"/>
          <w:szCs w:val="28"/>
          <w:highlight w:val="none"/>
          <w:lang w:val="en-US" w:eastAsia="zh-CN"/>
        </w:rPr>
        <w:t xml:space="preserve"> </w:t>
      </w:r>
    </w:p>
    <w:p w14:paraId="4D0EBF3F">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采购部门联系人：单老师  联系电话：13511591058</w:t>
      </w:r>
    </w:p>
    <w:bookmarkEnd w:id="0"/>
    <w:bookmarkEnd w:id="1"/>
    <w:bookmarkEnd w:id="2"/>
    <w:bookmarkEnd w:id="3"/>
    <w:p w14:paraId="2DEDB805">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2.采购代理机构信息</w:t>
      </w:r>
    </w:p>
    <w:p w14:paraId="3B170F37">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名称：江苏中润工程建设咨询有限公司</w:t>
      </w:r>
    </w:p>
    <w:p w14:paraId="5EA19C16">
      <w:pPr>
        <w:snapToGrid w:val="0"/>
        <w:spacing w:line="460" w:lineRule="exact"/>
        <w:ind w:firstLine="588" w:firstLineChars="200"/>
        <w:rPr>
          <w:rFonts w:hint="eastAsia" w:ascii="仿宋" w:hAnsi="仿宋" w:eastAsia="仿宋"/>
          <w:spacing w:val="7"/>
          <w:sz w:val="28"/>
          <w:szCs w:val="28"/>
          <w:highlight w:val="none"/>
        </w:rPr>
      </w:pPr>
      <w:r>
        <w:rPr>
          <w:rFonts w:hint="eastAsia" w:ascii="仿宋" w:hAnsi="仿宋" w:eastAsia="仿宋"/>
          <w:spacing w:val="7"/>
          <w:sz w:val="28"/>
          <w:szCs w:val="28"/>
          <w:highlight w:val="none"/>
        </w:rPr>
        <w:t>地址：南通市崇川路58号南通产业技术研究院9号楼1004室</w:t>
      </w:r>
    </w:p>
    <w:p w14:paraId="1545E08A">
      <w:pPr>
        <w:snapToGrid w:val="0"/>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联系方式：王工0513-55887688</w:t>
      </w:r>
      <w:r>
        <w:rPr>
          <w:rFonts w:hint="eastAsia" w:ascii="仿宋" w:hAnsi="仿宋" w:eastAsia="仿宋"/>
          <w:sz w:val="28"/>
          <w:szCs w:val="28"/>
          <w:highlight w:val="none"/>
        </w:rPr>
        <w:t xml:space="preserve"> 13906272111</w:t>
      </w:r>
    </w:p>
    <w:p w14:paraId="78DD02B0">
      <w:pPr>
        <w:snapToGrid w:val="0"/>
        <w:spacing w:line="360" w:lineRule="auto"/>
        <w:jc w:val="center"/>
        <w:rPr>
          <w:rFonts w:ascii="仿宋" w:hAnsi="仿宋" w:eastAsia="仿宋"/>
          <w:sz w:val="36"/>
          <w:szCs w:val="36"/>
          <w:highlight w:val="none"/>
        </w:rPr>
      </w:pPr>
    </w:p>
    <w:p w14:paraId="2ED75EF5">
      <w:pPr>
        <w:snapToGrid w:val="0"/>
        <w:spacing w:line="360" w:lineRule="auto"/>
        <w:jc w:val="center"/>
        <w:rPr>
          <w:rFonts w:ascii="仿宋" w:hAnsi="仿宋" w:eastAsia="仿宋"/>
          <w:sz w:val="36"/>
          <w:szCs w:val="36"/>
          <w:highlight w:val="none"/>
          <w:lang w:val="zh-CN"/>
        </w:rPr>
      </w:pPr>
    </w:p>
    <w:p w14:paraId="5CDE5471">
      <w:pPr>
        <w:pStyle w:val="56"/>
        <w:spacing w:line="360" w:lineRule="auto"/>
        <w:ind w:firstLine="420"/>
        <w:rPr>
          <w:rFonts w:ascii="仿宋" w:hAnsi="仿宋" w:eastAsia="仿宋"/>
          <w:highlight w:val="none"/>
          <w:lang w:val="zh-CN"/>
        </w:rPr>
      </w:pPr>
    </w:p>
    <w:p w14:paraId="5ADAA91A">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br w:type="page"/>
      </w:r>
      <w:r>
        <w:rPr>
          <w:rFonts w:hint="eastAsia" w:ascii="仿宋" w:hAnsi="仿宋" w:eastAsia="仿宋"/>
          <w:bCs/>
          <w:sz w:val="36"/>
          <w:szCs w:val="36"/>
          <w:highlight w:val="none"/>
        </w:rPr>
        <w:t>第二部分 磋商须知</w:t>
      </w:r>
    </w:p>
    <w:p w14:paraId="57A4ADEE">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4" w:name="_Toc513029203"/>
      <w:bookmarkEnd w:id="4"/>
      <w:bookmarkStart w:id="5" w:name="_Toc120614214"/>
      <w:bookmarkEnd w:id="5"/>
      <w:bookmarkStart w:id="6" w:name="_Toc16938519"/>
      <w:bookmarkEnd w:id="6"/>
      <w:bookmarkStart w:id="7" w:name="_Toc20823275"/>
      <w:bookmarkEnd w:id="7"/>
      <w:r>
        <w:rPr>
          <w:rFonts w:hint="eastAsia" w:ascii="仿宋" w:hAnsi="仿宋" w:eastAsia="仿宋"/>
          <w:b/>
          <w:bCs/>
          <w:kern w:val="0"/>
          <w:sz w:val="28"/>
          <w:szCs w:val="28"/>
          <w:highlight w:val="none"/>
        </w:rPr>
        <w:t>一、总则</w:t>
      </w:r>
    </w:p>
    <w:p w14:paraId="2AD4ABCA">
      <w:pPr>
        <w:keepNext/>
        <w:snapToGrid w:val="0"/>
        <w:spacing w:line="460" w:lineRule="exact"/>
        <w:ind w:firstLine="560" w:firstLineChars="200"/>
        <w:rPr>
          <w:rFonts w:ascii="仿宋" w:hAnsi="仿宋" w:eastAsia="仿宋"/>
          <w:kern w:val="0"/>
          <w:sz w:val="28"/>
          <w:szCs w:val="28"/>
          <w:highlight w:val="none"/>
        </w:rPr>
      </w:pPr>
      <w:bookmarkStart w:id="8" w:name="_Toc513029204"/>
      <w:bookmarkEnd w:id="8"/>
      <w:bookmarkStart w:id="9" w:name="_Toc458694821"/>
      <w:bookmarkEnd w:id="9"/>
      <w:bookmarkStart w:id="10" w:name="_Hlt16619475"/>
      <w:bookmarkEnd w:id="10"/>
      <w:bookmarkStart w:id="11" w:name="_Toc20823276"/>
      <w:bookmarkEnd w:id="11"/>
      <w:bookmarkStart w:id="12" w:name="_Toc16938520"/>
      <w:bookmarkEnd w:id="12"/>
      <w:r>
        <w:rPr>
          <w:rFonts w:hint="eastAsia" w:ascii="仿宋" w:hAnsi="仿宋" w:eastAsia="仿宋"/>
          <w:kern w:val="0"/>
          <w:sz w:val="28"/>
          <w:szCs w:val="28"/>
          <w:highlight w:val="none"/>
        </w:rPr>
        <w:t>1.采购方式</w:t>
      </w:r>
    </w:p>
    <w:p w14:paraId="3BC8BA0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 本次采取竞争性磋商方式，本磋商文件仅适用于磋商公告中所述项目。</w:t>
      </w:r>
    </w:p>
    <w:p w14:paraId="1283BDE2">
      <w:pPr>
        <w:keepNext/>
        <w:snapToGrid w:val="0"/>
        <w:spacing w:line="460" w:lineRule="exact"/>
        <w:ind w:firstLine="560" w:firstLineChars="200"/>
        <w:rPr>
          <w:rFonts w:ascii="仿宋" w:hAnsi="仿宋" w:eastAsia="仿宋"/>
          <w:kern w:val="0"/>
          <w:sz w:val="28"/>
          <w:szCs w:val="28"/>
          <w:highlight w:val="none"/>
        </w:rPr>
      </w:pPr>
      <w:bookmarkStart w:id="13" w:name="_Toc20823277"/>
      <w:bookmarkEnd w:id="13"/>
      <w:bookmarkStart w:id="14" w:name="_Toc513029205"/>
      <w:bookmarkEnd w:id="14"/>
      <w:bookmarkStart w:id="15" w:name="_Toc16938521"/>
      <w:bookmarkEnd w:id="15"/>
      <w:r>
        <w:rPr>
          <w:rFonts w:hint="eastAsia" w:ascii="仿宋" w:hAnsi="仿宋" w:eastAsia="仿宋"/>
          <w:kern w:val="0"/>
          <w:sz w:val="28"/>
          <w:szCs w:val="28"/>
          <w:highlight w:val="none"/>
        </w:rPr>
        <w:t>2.合格的供应商</w:t>
      </w:r>
    </w:p>
    <w:p w14:paraId="3809E9B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2.1满足磋商公告中供应商的资格要求的规定。</w:t>
      </w:r>
    </w:p>
    <w:p w14:paraId="6431A5D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 满足本文件实质性条款的规定。</w:t>
      </w:r>
    </w:p>
    <w:p w14:paraId="47B62255">
      <w:pPr>
        <w:keepNext/>
        <w:snapToGrid w:val="0"/>
        <w:spacing w:line="460" w:lineRule="exact"/>
        <w:ind w:firstLine="560" w:firstLineChars="200"/>
        <w:rPr>
          <w:rFonts w:ascii="仿宋" w:hAnsi="仿宋" w:eastAsia="仿宋"/>
          <w:kern w:val="0"/>
          <w:sz w:val="28"/>
          <w:szCs w:val="28"/>
          <w:highlight w:val="none"/>
        </w:rPr>
      </w:pPr>
      <w:bookmarkStart w:id="16" w:name="_Toc20823278"/>
      <w:bookmarkEnd w:id="16"/>
      <w:bookmarkStart w:id="17" w:name="_Toc513029206"/>
      <w:bookmarkEnd w:id="17"/>
      <w:bookmarkStart w:id="18" w:name="_Toc16938522"/>
      <w:bookmarkEnd w:id="18"/>
      <w:r>
        <w:rPr>
          <w:rFonts w:hint="eastAsia" w:ascii="仿宋" w:hAnsi="仿宋" w:eastAsia="仿宋"/>
          <w:kern w:val="0"/>
          <w:sz w:val="28"/>
          <w:szCs w:val="28"/>
          <w:highlight w:val="none"/>
        </w:rPr>
        <w:t>3.适用法律</w:t>
      </w:r>
    </w:p>
    <w:p w14:paraId="6AA6680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 本次采购及由此产生的合同受中华人民共和国有关的法律法规制约和保护。</w:t>
      </w:r>
    </w:p>
    <w:p w14:paraId="13D88861">
      <w:pPr>
        <w:keepNext/>
        <w:snapToGrid w:val="0"/>
        <w:spacing w:line="460" w:lineRule="exact"/>
        <w:ind w:firstLine="560" w:firstLineChars="200"/>
        <w:rPr>
          <w:rFonts w:ascii="仿宋" w:hAnsi="仿宋" w:eastAsia="仿宋"/>
          <w:kern w:val="0"/>
          <w:sz w:val="28"/>
          <w:szCs w:val="28"/>
          <w:highlight w:val="none"/>
        </w:rPr>
      </w:pPr>
      <w:bookmarkStart w:id="19" w:name="_Toc20823279"/>
      <w:bookmarkEnd w:id="19"/>
      <w:bookmarkStart w:id="20" w:name="_Toc462564067"/>
      <w:bookmarkEnd w:id="20"/>
      <w:bookmarkStart w:id="21" w:name="_Toc513029207"/>
      <w:bookmarkEnd w:id="21"/>
      <w:bookmarkStart w:id="22" w:name="_Toc16938523"/>
      <w:bookmarkEnd w:id="22"/>
      <w:r>
        <w:rPr>
          <w:rFonts w:hint="eastAsia" w:ascii="仿宋" w:hAnsi="仿宋" w:eastAsia="仿宋"/>
          <w:kern w:val="0"/>
          <w:sz w:val="28"/>
          <w:szCs w:val="28"/>
          <w:highlight w:val="none"/>
        </w:rPr>
        <w:t>4.磋商费用</w:t>
      </w:r>
    </w:p>
    <w:p w14:paraId="5FF1165C">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4.1 供应商应自行承担所有与参加磋商有关的费用，无论磋商过程中的做法和结果如何，江苏中润工程建设咨询有限公司（以下简称采购代理机构）在任何情况下均无义务和责任承担这些费用。</w:t>
      </w:r>
    </w:p>
    <w:p w14:paraId="598A9A0F">
      <w:pPr>
        <w:keepNext/>
        <w:snapToGrid w:val="0"/>
        <w:spacing w:line="460" w:lineRule="exact"/>
        <w:ind w:firstLine="560" w:firstLineChars="200"/>
        <w:rPr>
          <w:rFonts w:ascii="仿宋" w:hAnsi="仿宋" w:eastAsia="仿宋"/>
          <w:sz w:val="28"/>
          <w:szCs w:val="32"/>
          <w:highlight w:val="none"/>
        </w:rPr>
      </w:pPr>
      <w:r>
        <w:rPr>
          <w:rFonts w:hint="eastAsia" w:ascii="仿宋" w:hAnsi="仿宋" w:eastAsia="仿宋"/>
          <w:sz w:val="28"/>
          <w:szCs w:val="32"/>
          <w:highlight w:val="none"/>
        </w:rPr>
        <w:t>4.2本项目资料费300元</w:t>
      </w:r>
      <w:r>
        <w:rPr>
          <w:rFonts w:hint="eastAsia" w:ascii="仿宋" w:hAnsi="仿宋" w:eastAsia="仿宋"/>
          <w:sz w:val="28"/>
          <w:szCs w:val="32"/>
          <w:highlight w:val="none"/>
          <w:lang w:val="en-US" w:eastAsia="zh-CN"/>
        </w:rPr>
        <w:t>/份</w:t>
      </w:r>
      <w:r>
        <w:rPr>
          <w:rFonts w:hint="eastAsia" w:ascii="仿宋" w:hAnsi="仿宋" w:eastAsia="仿宋"/>
          <w:sz w:val="28"/>
          <w:szCs w:val="32"/>
          <w:highlight w:val="none"/>
        </w:rPr>
        <w:t>，在开标现场支付给代理机构，无论是否中标，该费用不予退还。</w:t>
      </w:r>
    </w:p>
    <w:p w14:paraId="140F2B99">
      <w:pPr>
        <w:keepNext/>
        <w:snapToGrid w:val="0"/>
        <w:spacing w:line="460" w:lineRule="exact"/>
        <w:ind w:firstLine="560" w:firstLineChars="200"/>
        <w:rPr>
          <w:rFonts w:ascii="仿宋" w:hAnsi="仿宋" w:eastAsia="仿宋"/>
          <w:sz w:val="28"/>
          <w:szCs w:val="32"/>
          <w:highlight w:val="none"/>
        </w:rPr>
      </w:pPr>
      <w:r>
        <w:rPr>
          <w:rFonts w:hint="eastAsia" w:ascii="仿宋" w:hAnsi="仿宋" w:eastAsia="仿宋"/>
          <w:sz w:val="28"/>
          <w:szCs w:val="32"/>
          <w:highlight w:val="none"/>
        </w:rPr>
        <w:t>4.3本项目代理费按照发改价格[2011]534号文标准的60%计收，不足1500元按1500元收取，投标供应商综合</w:t>
      </w:r>
      <w:r>
        <w:rPr>
          <w:rFonts w:hint="eastAsia" w:ascii="仿宋" w:hAnsi="仿宋" w:eastAsia="仿宋"/>
          <w:sz w:val="28"/>
          <w:szCs w:val="32"/>
          <w:highlight w:val="none"/>
          <w:lang w:val="zh-CN"/>
        </w:rPr>
        <w:t>考虑此费用的支出</w:t>
      </w:r>
      <w:r>
        <w:rPr>
          <w:rFonts w:hint="eastAsia" w:ascii="仿宋" w:hAnsi="仿宋" w:eastAsia="仿宋"/>
          <w:kern w:val="0"/>
          <w:sz w:val="28"/>
          <w:szCs w:val="28"/>
          <w:highlight w:val="none"/>
        </w:rPr>
        <w:t>（不单列）。</w:t>
      </w:r>
    </w:p>
    <w:p w14:paraId="4C8CA186">
      <w:pPr>
        <w:keepNext/>
        <w:snapToGrid w:val="0"/>
        <w:spacing w:line="460" w:lineRule="exact"/>
        <w:ind w:firstLine="560" w:firstLineChars="200"/>
        <w:rPr>
          <w:rFonts w:ascii="仿宋" w:hAnsi="仿宋" w:eastAsia="仿宋"/>
          <w:sz w:val="28"/>
          <w:szCs w:val="32"/>
          <w:highlight w:val="none"/>
          <w:lang w:val="zh-CN"/>
        </w:rPr>
      </w:pPr>
      <w:r>
        <w:rPr>
          <w:rFonts w:hint="eastAsia" w:ascii="仿宋" w:hAnsi="仿宋" w:eastAsia="仿宋"/>
          <w:sz w:val="28"/>
          <w:szCs w:val="32"/>
          <w:highlight w:val="none"/>
          <w:lang w:val="zh-CN"/>
        </w:rPr>
        <w:t>代理费由成交供应商在开标现场定标后支付给代理机构，如因成交供应商原因导致本项目流标或改变中标结果或其被取消中标资格的，代理费不予退还</w:t>
      </w:r>
      <w:r>
        <w:rPr>
          <w:rFonts w:hint="eastAsia" w:ascii="仿宋" w:hAnsi="仿宋" w:eastAsia="仿宋"/>
          <w:sz w:val="28"/>
          <w:szCs w:val="32"/>
          <w:highlight w:val="none"/>
        </w:rPr>
        <w:t>。</w:t>
      </w:r>
    </w:p>
    <w:p w14:paraId="0343C169">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5.磋商文件的约束力</w:t>
      </w:r>
    </w:p>
    <w:p w14:paraId="379EE10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w:t>
      </w:r>
      <w:r>
        <w:rPr>
          <w:rFonts w:hint="eastAsia" w:ascii="仿宋" w:hAnsi="仿宋" w:eastAsia="仿宋"/>
          <w:sz w:val="28"/>
          <w:szCs w:val="28"/>
          <w:highlight w:val="none"/>
        </w:rPr>
        <w:t xml:space="preserve"> 供应商一旦参加本项目采购活动，即被认为接受了本磋商文件的规定和约束。</w:t>
      </w:r>
    </w:p>
    <w:p w14:paraId="27D34B2A">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6.磋商文件的解释</w:t>
      </w:r>
    </w:p>
    <w:p w14:paraId="0DC1E22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w:t>
      </w:r>
      <w:r>
        <w:rPr>
          <w:rFonts w:hint="eastAsia" w:ascii="仿宋" w:hAnsi="仿宋" w:eastAsia="仿宋"/>
          <w:sz w:val="28"/>
          <w:szCs w:val="28"/>
          <w:highlight w:val="none"/>
        </w:rPr>
        <w:t>磋商文件需求部分（供应商资格要求、项目需求、商务技术评分标准）由采购人解释，其它部分由采购代理机构解释。</w:t>
      </w:r>
    </w:p>
    <w:p w14:paraId="15A113E5">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23" w:name="_Toc20823281"/>
      <w:bookmarkEnd w:id="23"/>
      <w:bookmarkStart w:id="24" w:name="_Toc16938525"/>
      <w:bookmarkEnd w:id="24"/>
      <w:bookmarkStart w:id="25" w:name="_Toc513029209"/>
      <w:bookmarkEnd w:id="25"/>
      <w:bookmarkStart w:id="26" w:name="_Toc120614215"/>
      <w:bookmarkEnd w:id="26"/>
      <w:r>
        <w:rPr>
          <w:rFonts w:hint="eastAsia" w:ascii="仿宋" w:hAnsi="仿宋" w:eastAsia="仿宋"/>
          <w:b/>
          <w:bCs/>
          <w:kern w:val="0"/>
          <w:sz w:val="28"/>
          <w:szCs w:val="28"/>
          <w:highlight w:val="none"/>
        </w:rPr>
        <w:t>二、磋商文件</w:t>
      </w:r>
    </w:p>
    <w:p w14:paraId="305D737A">
      <w:pPr>
        <w:keepNext/>
        <w:snapToGrid w:val="0"/>
        <w:spacing w:line="460" w:lineRule="exact"/>
        <w:ind w:firstLine="560" w:firstLineChars="200"/>
        <w:rPr>
          <w:rFonts w:ascii="仿宋" w:hAnsi="仿宋" w:eastAsia="仿宋"/>
          <w:kern w:val="0"/>
          <w:sz w:val="28"/>
          <w:szCs w:val="28"/>
          <w:highlight w:val="none"/>
        </w:rPr>
      </w:pPr>
      <w:bookmarkStart w:id="27" w:name="_Toc20823282"/>
      <w:bookmarkEnd w:id="27"/>
      <w:bookmarkStart w:id="28" w:name="_Toc513029210"/>
      <w:bookmarkEnd w:id="28"/>
      <w:bookmarkStart w:id="29" w:name="_Toc16938526"/>
      <w:bookmarkEnd w:id="29"/>
      <w:r>
        <w:rPr>
          <w:rFonts w:hint="eastAsia" w:ascii="仿宋" w:hAnsi="仿宋" w:eastAsia="仿宋"/>
          <w:kern w:val="0"/>
          <w:sz w:val="28"/>
          <w:szCs w:val="28"/>
          <w:highlight w:val="none"/>
        </w:rPr>
        <w:t>1.磋商文件构成</w:t>
      </w:r>
    </w:p>
    <w:p w14:paraId="6CE49F2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w:t>
      </w:r>
      <w:r>
        <w:rPr>
          <w:rFonts w:hint="eastAsia" w:ascii="仿宋" w:hAnsi="仿宋" w:eastAsia="仿宋"/>
          <w:sz w:val="28"/>
          <w:szCs w:val="28"/>
          <w:highlight w:val="none"/>
        </w:rPr>
        <w:t xml:space="preserve"> 磋商文件由以下部分组成：</w:t>
      </w:r>
    </w:p>
    <w:p w14:paraId="299CE9C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（1）竞争性磋商公告</w:t>
      </w:r>
    </w:p>
    <w:p w14:paraId="23E384D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（2）磋商须知</w:t>
      </w:r>
    </w:p>
    <w:p w14:paraId="12FE168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（3）项目需求</w:t>
      </w:r>
    </w:p>
    <w:p w14:paraId="3DFB7EB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（4）评审方法和评审标准</w:t>
      </w:r>
    </w:p>
    <w:p w14:paraId="2973925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（5）响应文件组成</w:t>
      </w:r>
    </w:p>
    <w:p w14:paraId="01A8ECA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（6）附件</w:t>
      </w:r>
    </w:p>
    <w:p w14:paraId="3524DB4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请仔细检查磋商文件是否齐全，如有缺漏请立即与采购代理机构联系解决。</w:t>
      </w:r>
    </w:p>
    <w:p w14:paraId="6BC2E65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w:t>
      </w:r>
      <w:r>
        <w:rPr>
          <w:rFonts w:hint="eastAsia" w:ascii="仿宋" w:hAnsi="仿宋" w:eastAsia="仿宋"/>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8F0A137">
      <w:pPr>
        <w:keepNext/>
        <w:snapToGrid w:val="0"/>
        <w:spacing w:line="460" w:lineRule="exact"/>
        <w:ind w:firstLine="560" w:firstLineChars="200"/>
        <w:rPr>
          <w:rFonts w:ascii="仿宋" w:hAnsi="仿宋" w:eastAsia="仿宋"/>
          <w:kern w:val="0"/>
          <w:sz w:val="28"/>
          <w:szCs w:val="28"/>
          <w:highlight w:val="none"/>
        </w:rPr>
      </w:pPr>
      <w:bookmarkStart w:id="30" w:name="_Toc16938527"/>
      <w:bookmarkEnd w:id="30"/>
      <w:bookmarkStart w:id="31" w:name="_Toc462564070"/>
      <w:bookmarkEnd w:id="31"/>
      <w:bookmarkStart w:id="32" w:name="_Toc20823283"/>
      <w:bookmarkEnd w:id="32"/>
      <w:bookmarkStart w:id="33" w:name="_Toc513029211"/>
      <w:bookmarkEnd w:id="33"/>
      <w:r>
        <w:rPr>
          <w:rFonts w:hint="eastAsia" w:ascii="仿宋" w:hAnsi="仿宋" w:eastAsia="仿宋"/>
          <w:kern w:val="0"/>
          <w:sz w:val="28"/>
          <w:szCs w:val="28"/>
          <w:highlight w:val="none"/>
        </w:rPr>
        <w:t>2.磋商文件的澄清</w:t>
      </w:r>
    </w:p>
    <w:p w14:paraId="4336CA0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w:t>
      </w:r>
      <w:r>
        <w:rPr>
          <w:rFonts w:hint="eastAsia" w:ascii="仿宋" w:hAnsi="仿宋" w:eastAsia="仿宋"/>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16A42EF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2.2采购人视情组织答疑会</w:t>
      </w:r>
    </w:p>
    <w:p w14:paraId="579EDC44">
      <w:pPr>
        <w:keepNext/>
        <w:snapToGrid w:val="0"/>
        <w:spacing w:line="460" w:lineRule="exact"/>
        <w:ind w:firstLine="560" w:firstLineChars="200"/>
        <w:rPr>
          <w:rFonts w:ascii="仿宋" w:hAnsi="仿宋" w:eastAsia="仿宋"/>
          <w:kern w:val="0"/>
          <w:sz w:val="28"/>
          <w:szCs w:val="28"/>
          <w:highlight w:val="none"/>
        </w:rPr>
      </w:pPr>
      <w:bookmarkStart w:id="34" w:name="_Toc513029212"/>
      <w:bookmarkEnd w:id="34"/>
      <w:bookmarkStart w:id="35" w:name="_Toc462564071"/>
      <w:bookmarkEnd w:id="35"/>
      <w:bookmarkStart w:id="36" w:name="_Toc20823284"/>
      <w:bookmarkEnd w:id="36"/>
      <w:bookmarkStart w:id="37" w:name="_Toc16938528"/>
      <w:bookmarkEnd w:id="37"/>
      <w:r>
        <w:rPr>
          <w:rFonts w:hint="eastAsia" w:ascii="仿宋" w:hAnsi="仿宋" w:eastAsia="仿宋"/>
          <w:kern w:val="0"/>
          <w:sz w:val="28"/>
          <w:szCs w:val="28"/>
          <w:highlight w:val="none"/>
        </w:rPr>
        <w:t>3.磋商文件的修改</w:t>
      </w:r>
    </w:p>
    <w:p w14:paraId="6C6E224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w:t>
      </w:r>
      <w:r>
        <w:rPr>
          <w:rFonts w:hint="eastAsia" w:ascii="仿宋" w:hAnsi="仿宋" w:eastAsia="仿宋"/>
          <w:sz w:val="28"/>
          <w:szCs w:val="28"/>
          <w:highlight w:val="none"/>
        </w:rPr>
        <w:t xml:space="preserve"> 在响应文件提交截止时间前，采购代理机构可以对磋商文件进行修改。</w:t>
      </w:r>
    </w:p>
    <w:p w14:paraId="3CA34B2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3.2 </w:t>
      </w:r>
      <w:r>
        <w:rPr>
          <w:rFonts w:hint="eastAsia" w:ascii="仿宋" w:hAnsi="仿宋" w:eastAsia="仿宋"/>
          <w:sz w:val="28"/>
          <w:szCs w:val="28"/>
          <w:highlight w:val="none"/>
        </w:rPr>
        <w:t>采购代理机构有权按照法定的要求推迟响应文件提交截止日期和磋商日期。</w:t>
      </w:r>
    </w:p>
    <w:p w14:paraId="6F0F406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3.3 </w:t>
      </w:r>
      <w:r>
        <w:rPr>
          <w:rFonts w:hint="eastAsia" w:ascii="仿宋" w:hAnsi="仿宋" w:eastAsia="仿宋"/>
          <w:sz w:val="28"/>
          <w:szCs w:val="28"/>
          <w:highlight w:val="none"/>
        </w:rPr>
        <w:t>磋商文件的修改将在南通市卫生健康委员会网站、学校网站公布，补充文件将作为磋商文件的组成部分，并对供应商具有约束力。</w:t>
      </w:r>
    </w:p>
    <w:p w14:paraId="182F0C2D">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38" w:name="_Toc16938529"/>
      <w:bookmarkEnd w:id="38"/>
      <w:bookmarkStart w:id="39" w:name="_Toc20823285"/>
      <w:bookmarkEnd w:id="39"/>
      <w:bookmarkStart w:id="40" w:name="_Toc462564072"/>
      <w:bookmarkEnd w:id="40"/>
      <w:bookmarkStart w:id="41" w:name="_Toc120614216"/>
      <w:bookmarkEnd w:id="41"/>
      <w:bookmarkStart w:id="42" w:name="_Toc513029213"/>
      <w:bookmarkEnd w:id="42"/>
      <w:r>
        <w:rPr>
          <w:rFonts w:hint="eastAsia" w:ascii="仿宋" w:hAnsi="仿宋" w:eastAsia="仿宋"/>
          <w:b/>
          <w:bCs/>
          <w:kern w:val="0"/>
          <w:sz w:val="28"/>
          <w:szCs w:val="28"/>
          <w:highlight w:val="none"/>
        </w:rPr>
        <w:t>三、响应文件的编制</w:t>
      </w:r>
    </w:p>
    <w:p w14:paraId="1D102D17">
      <w:pPr>
        <w:keepNext/>
        <w:snapToGrid w:val="0"/>
        <w:spacing w:line="460" w:lineRule="exact"/>
        <w:ind w:firstLine="560" w:firstLineChars="200"/>
        <w:rPr>
          <w:rFonts w:ascii="仿宋" w:hAnsi="仿宋" w:eastAsia="仿宋"/>
          <w:kern w:val="0"/>
          <w:sz w:val="28"/>
          <w:szCs w:val="28"/>
          <w:highlight w:val="none"/>
        </w:rPr>
      </w:pPr>
      <w:bookmarkStart w:id="43" w:name="_Toc16938530"/>
      <w:bookmarkEnd w:id="43"/>
      <w:bookmarkStart w:id="44" w:name="_Toc20823286"/>
      <w:bookmarkEnd w:id="44"/>
      <w:bookmarkStart w:id="45" w:name="_Toc462564073"/>
      <w:bookmarkEnd w:id="45"/>
      <w:bookmarkStart w:id="46" w:name="_Toc513029214"/>
      <w:bookmarkEnd w:id="46"/>
      <w:r>
        <w:rPr>
          <w:rFonts w:hint="eastAsia" w:ascii="仿宋" w:hAnsi="仿宋" w:eastAsia="仿宋"/>
          <w:kern w:val="0"/>
          <w:sz w:val="28"/>
          <w:szCs w:val="28"/>
          <w:highlight w:val="none"/>
        </w:rPr>
        <w:t>1.响应文件的语言及度量衡单位</w:t>
      </w:r>
    </w:p>
    <w:p w14:paraId="4FDE7D0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w:t>
      </w:r>
      <w:r>
        <w:rPr>
          <w:rFonts w:hint="eastAsia" w:ascii="仿宋" w:hAnsi="仿宋" w:eastAsia="仿宋"/>
          <w:sz w:val="28"/>
          <w:szCs w:val="28"/>
          <w:highlight w:val="none"/>
        </w:rPr>
        <w:t>供应商提交的响应文件以及供应商与采购代理机构及采购人就有关磋商的所有来往通知、函件和文件均应使用</w:t>
      </w:r>
      <w:r>
        <w:rPr>
          <w:rFonts w:hint="eastAsia" w:ascii="仿宋" w:hAnsi="仿宋" w:eastAsia="仿宋"/>
          <w:bCs/>
          <w:sz w:val="28"/>
          <w:szCs w:val="28"/>
          <w:highlight w:val="none"/>
        </w:rPr>
        <w:t>简体中文</w:t>
      </w:r>
      <w:r>
        <w:rPr>
          <w:rFonts w:hint="eastAsia" w:ascii="仿宋" w:hAnsi="仿宋" w:eastAsia="仿宋"/>
          <w:sz w:val="28"/>
          <w:szCs w:val="28"/>
          <w:highlight w:val="none"/>
        </w:rPr>
        <w:t>。</w:t>
      </w:r>
    </w:p>
    <w:p w14:paraId="75C8EB83">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w:t>
      </w:r>
      <w:r>
        <w:rPr>
          <w:rFonts w:hint="eastAsia" w:ascii="仿宋" w:hAnsi="仿宋" w:eastAsia="仿宋"/>
          <w:sz w:val="28"/>
          <w:szCs w:val="28"/>
          <w:highlight w:val="none"/>
        </w:rPr>
        <w:t xml:space="preserve"> 除技术性能另有规定外，响应文件所使用的度量衡单位，均须采用国家法定计量单位。</w:t>
      </w:r>
    </w:p>
    <w:p w14:paraId="53E9231D">
      <w:pPr>
        <w:keepNext/>
        <w:snapToGrid w:val="0"/>
        <w:spacing w:line="460" w:lineRule="exact"/>
        <w:ind w:firstLine="560" w:firstLineChars="200"/>
        <w:rPr>
          <w:rFonts w:ascii="仿宋" w:hAnsi="仿宋" w:eastAsia="仿宋"/>
          <w:kern w:val="0"/>
          <w:sz w:val="28"/>
          <w:szCs w:val="28"/>
          <w:highlight w:val="none"/>
        </w:rPr>
      </w:pPr>
      <w:bookmarkStart w:id="47" w:name="_Toc462564074"/>
      <w:bookmarkEnd w:id="47"/>
      <w:bookmarkStart w:id="48" w:name="_Toc16938531"/>
      <w:bookmarkEnd w:id="48"/>
      <w:bookmarkStart w:id="49" w:name="_Toc20823287"/>
      <w:bookmarkEnd w:id="49"/>
      <w:bookmarkStart w:id="50" w:name="_Toc513029215"/>
      <w:bookmarkEnd w:id="50"/>
      <w:r>
        <w:rPr>
          <w:rFonts w:hint="eastAsia" w:ascii="仿宋" w:hAnsi="仿宋" w:eastAsia="仿宋"/>
          <w:kern w:val="0"/>
          <w:sz w:val="28"/>
          <w:szCs w:val="28"/>
          <w:highlight w:val="none"/>
        </w:rPr>
        <w:t>2.响应文件构成</w:t>
      </w:r>
    </w:p>
    <w:p w14:paraId="20DF365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w:t>
      </w:r>
      <w:r>
        <w:rPr>
          <w:rFonts w:hint="eastAsia" w:ascii="仿宋" w:hAnsi="仿宋" w:eastAsia="仿宋"/>
          <w:sz w:val="28"/>
          <w:szCs w:val="28"/>
          <w:highlight w:val="none"/>
        </w:rPr>
        <w:t xml:space="preserve"> 供应商编写的响应文件应包括资格审查文件文件、商务技术标文件、价格标文件。供应商按“第五部分 响应文件组成”要求编写响应文件。</w:t>
      </w:r>
    </w:p>
    <w:p w14:paraId="4C05D403">
      <w:pPr>
        <w:keepNext/>
        <w:snapToGrid w:val="0"/>
        <w:spacing w:line="460" w:lineRule="exact"/>
        <w:ind w:firstLine="560" w:firstLineChars="200"/>
        <w:rPr>
          <w:rFonts w:ascii="仿宋" w:hAnsi="仿宋" w:eastAsia="仿宋"/>
          <w:kern w:val="0"/>
          <w:sz w:val="28"/>
          <w:szCs w:val="28"/>
          <w:highlight w:val="none"/>
        </w:rPr>
      </w:pPr>
      <w:bookmarkStart w:id="51" w:name="_Toc49090511"/>
      <w:bookmarkEnd w:id="51"/>
      <w:bookmarkStart w:id="52" w:name="_Hlt26670360"/>
      <w:bookmarkEnd w:id="52"/>
      <w:bookmarkStart w:id="53" w:name="_Toc14577360"/>
      <w:bookmarkEnd w:id="53"/>
      <w:bookmarkStart w:id="54" w:name="_Hlt26668975"/>
      <w:bookmarkEnd w:id="54"/>
      <w:bookmarkStart w:id="55" w:name="_Hlt26954838"/>
      <w:bookmarkEnd w:id="55"/>
      <w:r>
        <w:rPr>
          <w:rFonts w:hint="eastAsia" w:ascii="仿宋" w:hAnsi="仿宋" w:eastAsia="仿宋"/>
          <w:kern w:val="0"/>
          <w:sz w:val="28"/>
          <w:szCs w:val="28"/>
          <w:highlight w:val="none"/>
        </w:rPr>
        <w:t>3.磋商响应有效期</w:t>
      </w:r>
    </w:p>
    <w:p w14:paraId="6373950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3.1磋商响应有效期为采购代理机构规定的响应文件</w:t>
      </w:r>
      <w:r>
        <w:rPr>
          <w:rFonts w:hint="eastAsia" w:ascii="仿宋" w:hAnsi="仿宋" w:eastAsia="仿宋"/>
          <w:sz w:val="28"/>
          <w:szCs w:val="28"/>
          <w:highlight w:val="none"/>
        </w:rPr>
        <w:t>提交</w:t>
      </w:r>
      <w:r>
        <w:rPr>
          <w:rFonts w:hint="eastAsia" w:ascii="仿宋" w:hAnsi="仿宋" w:eastAsia="仿宋"/>
          <w:bCs/>
          <w:sz w:val="28"/>
          <w:szCs w:val="28"/>
          <w:highlight w:val="none"/>
        </w:rPr>
        <w:t>截止时间后</w:t>
      </w:r>
      <w:r>
        <w:rPr>
          <w:rFonts w:hint="eastAsia" w:ascii="仿宋" w:hAnsi="仿宋" w:eastAsia="仿宋"/>
          <w:b/>
          <w:sz w:val="28"/>
          <w:szCs w:val="28"/>
          <w:highlight w:val="none"/>
          <w:u w:val="single"/>
        </w:rPr>
        <w:t>六十（60）天</w:t>
      </w:r>
      <w:r>
        <w:rPr>
          <w:rFonts w:hint="eastAsia" w:ascii="仿宋" w:hAnsi="仿宋" w:eastAsia="仿宋"/>
          <w:bCs/>
          <w:sz w:val="28"/>
          <w:szCs w:val="28"/>
          <w:highlight w:val="none"/>
        </w:rPr>
        <w:t>。磋商响应有效期比规定短的将被视为非实质性响应而予以拒绝。</w:t>
      </w:r>
    </w:p>
    <w:p w14:paraId="26EFF766">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4. 磋商响应有效期的延长</w:t>
      </w:r>
    </w:p>
    <w:p w14:paraId="1BB79DBA">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sz w:val="28"/>
          <w:szCs w:val="28"/>
          <w:highlight w:val="none"/>
        </w:rPr>
        <w:t>受磋商响应有效期约束的所有权利与义务均延长至新的有效期</w:t>
      </w:r>
      <w:r>
        <w:rPr>
          <w:rFonts w:hint="eastAsia" w:ascii="仿宋" w:hAnsi="仿宋" w:eastAsia="仿宋"/>
          <w:bCs/>
          <w:sz w:val="28"/>
          <w:szCs w:val="28"/>
          <w:highlight w:val="none"/>
        </w:rPr>
        <w:t>。</w:t>
      </w:r>
    </w:p>
    <w:p w14:paraId="21D6530A">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56" w:name="_Toc16938540"/>
      <w:bookmarkEnd w:id="56"/>
      <w:bookmarkStart w:id="57" w:name="_Toc513029224"/>
      <w:bookmarkEnd w:id="57"/>
      <w:bookmarkStart w:id="58" w:name="_Hlt26954739"/>
      <w:bookmarkEnd w:id="58"/>
      <w:bookmarkStart w:id="59" w:name="_Toc120614217"/>
      <w:bookmarkEnd w:id="59"/>
      <w:bookmarkStart w:id="60" w:name="_Toc20823296"/>
      <w:bookmarkEnd w:id="60"/>
      <w:bookmarkStart w:id="61" w:name="_Hlt26954852"/>
      <w:bookmarkEnd w:id="61"/>
      <w:r>
        <w:rPr>
          <w:rFonts w:hint="eastAsia" w:ascii="仿宋" w:hAnsi="仿宋" w:eastAsia="仿宋"/>
          <w:b/>
          <w:bCs/>
          <w:kern w:val="0"/>
          <w:sz w:val="28"/>
          <w:szCs w:val="28"/>
          <w:highlight w:val="none"/>
        </w:rPr>
        <w:t>四、响应文件的提交</w:t>
      </w:r>
    </w:p>
    <w:p w14:paraId="2DCBB314">
      <w:pPr>
        <w:keepNext/>
        <w:snapToGrid w:val="0"/>
        <w:spacing w:line="460" w:lineRule="exact"/>
        <w:ind w:firstLine="560" w:firstLineChars="200"/>
        <w:rPr>
          <w:rFonts w:ascii="仿宋" w:hAnsi="仿宋" w:eastAsia="仿宋"/>
          <w:kern w:val="0"/>
          <w:sz w:val="28"/>
          <w:szCs w:val="28"/>
          <w:highlight w:val="none"/>
        </w:rPr>
      </w:pPr>
      <w:bookmarkStart w:id="62" w:name="_Toc16938541"/>
      <w:bookmarkEnd w:id="62"/>
      <w:bookmarkStart w:id="63" w:name="_Toc513029225"/>
      <w:bookmarkEnd w:id="63"/>
      <w:bookmarkStart w:id="64" w:name="_Toc20823297"/>
      <w:bookmarkEnd w:id="64"/>
      <w:bookmarkStart w:id="65" w:name="_Toc462564084"/>
      <w:bookmarkEnd w:id="65"/>
      <w:r>
        <w:rPr>
          <w:rFonts w:hint="eastAsia" w:ascii="仿宋" w:hAnsi="仿宋" w:eastAsia="仿宋"/>
          <w:kern w:val="0"/>
          <w:sz w:val="28"/>
          <w:szCs w:val="28"/>
          <w:highlight w:val="none"/>
        </w:rPr>
        <w:t>1.响应文件的提交</w:t>
      </w:r>
    </w:p>
    <w:p w14:paraId="729CD65D">
      <w:pPr>
        <w:snapToGrid w:val="0"/>
        <w:spacing w:line="460" w:lineRule="exact"/>
        <w:ind w:firstLine="560" w:firstLineChars="200"/>
        <w:rPr>
          <w:rFonts w:ascii="仿宋" w:hAnsi="仿宋" w:eastAsia="仿宋"/>
          <w:bCs/>
          <w:sz w:val="28"/>
          <w:szCs w:val="28"/>
          <w:highlight w:val="none"/>
        </w:rPr>
      </w:pPr>
      <w:bookmarkStart w:id="66" w:name="_Toc16938542"/>
      <w:bookmarkStart w:id="67" w:name="_Toc513029226"/>
      <w:bookmarkStart w:id="68" w:name="_Toc20823298"/>
      <w:r>
        <w:rPr>
          <w:rFonts w:hint="eastAsia" w:ascii="仿宋" w:hAnsi="仿宋" w:eastAsia="仿宋"/>
          <w:bCs/>
          <w:sz w:val="28"/>
          <w:szCs w:val="28"/>
          <w:highlight w:val="none"/>
        </w:rPr>
        <w:t>1.1纸质响应文件三部分内容（资格审查文件、商务技术文件、价格文件）须分别单独密封，</w:t>
      </w:r>
      <w:r>
        <w:rPr>
          <w:rFonts w:hint="eastAsia" w:ascii="仿宋" w:hAnsi="仿宋" w:eastAsia="仿宋"/>
          <w:bCs/>
          <w:sz w:val="28"/>
          <w:szCs w:val="28"/>
          <w:highlight w:val="none"/>
          <w:lang w:val="zh-CN"/>
        </w:rPr>
        <w:t>并牢</w:t>
      </w:r>
      <w:r>
        <w:rPr>
          <w:rFonts w:hint="eastAsia" w:ascii="仿宋" w:hAnsi="仿宋" w:eastAsia="仿宋"/>
          <w:bCs/>
          <w:sz w:val="28"/>
          <w:szCs w:val="28"/>
          <w:highlight w:val="none"/>
        </w:rPr>
        <w:t>固装订成册，不得相互混淆，文件自编目录并连续标注页码，不得将内容拆开。价格文件不得出现于其他磋商文件中。</w:t>
      </w:r>
    </w:p>
    <w:p w14:paraId="1F71DAA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纸质响应文件每一部分内容均须提供“一正、一副”纸质响应文件，并将每一部分正本、副本及图纸类等（如需提供图纸等其它资料的话）合并密封，装在一个密封袋或密封箱内（如有A3大小的图纸类，可单独密封）。</w:t>
      </w:r>
    </w:p>
    <w:p w14:paraId="6C062EA1">
      <w:pPr>
        <w:snapToGrid w:val="0"/>
        <w:spacing w:line="4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14:paraId="2EB9EE1C">
      <w:pPr>
        <w:snapToGrid w:val="0"/>
        <w:spacing w:line="4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电子响应文件内容应与提交的纸质响应文件内容一致。否则，由此产生的后果投标人自负。</w:t>
      </w:r>
    </w:p>
    <w:p w14:paraId="397CC9B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1.3纸质响应文件须</w:t>
      </w:r>
      <w:r>
        <w:rPr>
          <w:rFonts w:hint="eastAsia" w:ascii="仿宋" w:hAnsi="仿宋" w:eastAsia="仿宋"/>
          <w:bCs/>
          <w:sz w:val="28"/>
          <w:szCs w:val="28"/>
          <w:highlight w:val="none"/>
          <w:lang w:val="zh-CN"/>
        </w:rPr>
        <w:t>采用A4纸（</w:t>
      </w:r>
      <w:r>
        <w:rPr>
          <w:rFonts w:hint="eastAsia" w:ascii="仿宋" w:hAnsi="仿宋" w:eastAsia="仿宋"/>
          <w:bCs/>
          <w:sz w:val="28"/>
          <w:szCs w:val="28"/>
          <w:highlight w:val="none"/>
        </w:rPr>
        <w:t>图纸等除外），正、副本须打印并由法定代表人或授权人签字并加盖单位印章。文件内容中不得行间插字、涂改、增删，如修补错漏处，须由响应文件签署人签字并加盖公章。</w:t>
      </w:r>
    </w:p>
    <w:p w14:paraId="431CA3F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1.4响应文件密封后应标明响应文件项目名称、项目编号、边缝处加盖单位骑缝章或骑缝签字等关键信息，</w:t>
      </w:r>
      <w:r>
        <w:rPr>
          <w:rFonts w:hint="eastAsia" w:ascii="仿宋" w:hAnsi="仿宋" w:eastAsia="仿宋"/>
          <w:b/>
          <w:sz w:val="28"/>
          <w:szCs w:val="28"/>
          <w:highlight w:val="none"/>
        </w:rPr>
        <w:t>密封完好以不泄露投标文件内容为主要判断依据。</w:t>
      </w:r>
    </w:p>
    <w:p w14:paraId="624673B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1.5递交时间：供应商须在规定的响应文件接收截止时间前送达指定地点。供应商提交磋商文件，即视为已响应参加政府采购活动。</w:t>
      </w:r>
    </w:p>
    <w:p w14:paraId="1FDFD7F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友情提醒：代理机构将拒绝接收未按照磋商文件要求密封的响应文件，拒绝接收在响应文件接收截止时间后递交的响应文件。</w:t>
      </w:r>
    </w:p>
    <w:bookmarkEnd w:id="66"/>
    <w:bookmarkEnd w:id="67"/>
    <w:bookmarkEnd w:id="68"/>
    <w:p w14:paraId="5DC07E3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2.响应文件截止日期</w:t>
      </w:r>
    </w:p>
    <w:p w14:paraId="1EB3D6C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 供应商提交响应文件的时间不得迟于磋商公告中规定的响应文件提交截止时间。</w:t>
      </w:r>
    </w:p>
    <w:p w14:paraId="3214801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供应商应充分考虑到交通路况、停车等风险因素，如因供应商自身原因造成的磋商响应文件提交不成功由供应商自行承担全部责任。</w:t>
      </w:r>
    </w:p>
    <w:p w14:paraId="7F88081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w:t>
      </w:r>
      <w:r>
        <w:rPr>
          <w:rFonts w:hint="eastAsia" w:ascii="仿宋" w:hAnsi="仿宋" w:eastAsia="仿宋"/>
          <w:bCs/>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14:paraId="3B4115C8">
      <w:pPr>
        <w:keepNext/>
        <w:snapToGrid w:val="0"/>
        <w:spacing w:line="460" w:lineRule="exact"/>
        <w:ind w:firstLine="560" w:firstLineChars="200"/>
        <w:rPr>
          <w:rFonts w:ascii="仿宋" w:hAnsi="仿宋" w:eastAsia="仿宋"/>
          <w:kern w:val="0"/>
          <w:sz w:val="28"/>
          <w:szCs w:val="28"/>
          <w:highlight w:val="none"/>
        </w:rPr>
      </w:pPr>
      <w:bookmarkStart w:id="69" w:name="_Toc513029227"/>
      <w:bookmarkEnd w:id="69"/>
      <w:bookmarkStart w:id="70" w:name="_Toc20823299"/>
      <w:bookmarkEnd w:id="70"/>
      <w:bookmarkStart w:id="71" w:name="_Toc16938543"/>
      <w:bookmarkEnd w:id="71"/>
      <w:r>
        <w:rPr>
          <w:rFonts w:hint="eastAsia" w:ascii="仿宋" w:hAnsi="仿宋" w:eastAsia="仿宋"/>
          <w:kern w:val="0"/>
          <w:sz w:val="28"/>
          <w:szCs w:val="28"/>
          <w:highlight w:val="none"/>
        </w:rPr>
        <w:t>3.响应文件的拒收</w:t>
      </w:r>
    </w:p>
    <w:p w14:paraId="53F78E7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 采购代理机构拒绝接收在其规定的响应文件提交截止时间后提交的任何响应文件。</w:t>
      </w:r>
    </w:p>
    <w:p w14:paraId="383AB02D">
      <w:pPr>
        <w:keepNext/>
        <w:snapToGrid w:val="0"/>
        <w:spacing w:line="460" w:lineRule="exact"/>
        <w:ind w:firstLine="560" w:firstLineChars="200"/>
        <w:rPr>
          <w:rFonts w:ascii="仿宋" w:hAnsi="仿宋" w:eastAsia="仿宋"/>
          <w:kern w:val="0"/>
          <w:sz w:val="28"/>
          <w:szCs w:val="28"/>
          <w:highlight w:val="none"/>
        </w:rPr>
      </w:pPr>
      <w:bookmarkStart w:id="72" w:name="_Toc513029228"/>
      <w:bookmarkEnd w:id="72"/>
      <w:bookmarkStart w:id="73" w:name="_Toc20823300"/>
      <w:bookmarkEnd w:id="73"/>
      <w:bookmarkStart w:id="74" w:name="_Toc16938544"/>
      <w:bookmarkEnd w:id="74"/>
      <w:r>
        <w:rPr>
          <w:rFonts w:hint="eastAsia" w:ascii="仿宋" w:hAnsi="仿宋" w:eastAsia="仿宋"/>
          <w:kern w:val="0"/>
          <w:sz w:val="28"/>
          <w:szCs w:val="28"/>
          <w:highlight w:val="none"/>
        </w:rPr>
        <w:t>4. 响应文件的撤回和修改</w:t>
      </w:r>
    </w:p>
    <w:p w14:paraId="3FBEA08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 响应文件的撤回</w:t>
      </w:r>
    </w:p>
    <w:p w14:paraId="4EC4CE3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4.1.1 响应文件的撤回</w:t>
      </w:r>
    </w:p>
    <w:p w14:paraId="6EBF4FCF">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供应商可在响应文件提交截止时间前，书面撤回其磋商响应文件。</w:t>
      </w:r>
    </w:p>
    <w:p w14:paraId="729A0BE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4.1.2 供应商撤回磋商响应文件，则认为其不再参与本项目磋商活动。</w:t>
      </w:r>
    </w:p>
    <w:p w14:paraId="7519466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 响应文件的修改</w:t>
      </w:r>
    </w:p>
    <w:p w14:paraId="5B53B0F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在响应文件提交截止时间之后，供应商不得再对其提交的响应文件进行修改。</w:t>
      </w:r>
    </w:p>
    <w:p w14:paraId="4A3CE358">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75" w:name="_Toc16938545"/>
      <w:bookmarkEnd w:id="75"/>
      <w:bookmarkStart w:id="76" w:name="_Toc513029229"/>
      <w:bookmarkEnd w:id="76"/>
      <w:bookmarkStart w:id="77" w:name="_Toc120614218"/>
      <w:bookmarkEnd w:id="77"/>
      <w:bookmarkStart w:id="78" w:name="_Toc20823301"/>
      <w:bookmarkEnd w:id="78"/>
      <w:bookmarkStart w:id="79" w:name="_Toc513029230"/>
      <w:bookmarkStart w:id="80" w:name="_Toc16938546"/>
      <w:bookmarkStart w:id="81" w:name="_Toc20823302"/>
      <w:r>
        <w:rPr>
          <w:rFonts w:hint="eastAsia" w:ascii="仿宋" w:hAnsi="仿宋" w:eastAsia="仿宋"/>
          <w:b/>
          <w:bCs/>
          <w:kern w:val="0"/>
          <w:sz w:val="28"/>
          <w:szCs w:val="28"/>
          <w:highlight w:val="none"/>
        </w:rPr>
        <w:t>五、磋商与评审</w:t>
      </w:r>
    </w:p>
    <w:p w14:paraId="5E830F7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1.磋商仪式</w:t>
      </w:r>
    </w:p>
    <w:p w14:paraId="6ECE28A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1.1采购代理机构将在磋商公告中规定的时间和地点组织磋商开始仪式。供应商应当在磋商公告中规定的时间和地点参加磋商活动。</w:t>
      </w:r>
    </w:p>
    <w:p w14:paraId="42E7003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 磋商活动的文件密封性检查工作</w:t>
      </w:r>
      <w:r>
        <w:rPr>
          <w:rFonts w:hint="eastAsia" w:ascii="仿宋" w:hAnsi="仿宋" w:eastAsia="仿宋"/>
          <w:sz w:val="28"/>
          <w:szCs w:val="28"/>
          <w:highlight w:val="none"/>
        </w:rPr>
        <w:t>由采购代理机构组织。</w:t>
      </w:r>
    </w:p>
    <w:p w14:paraId="4C12829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1.3供应商在磋商过程中涉及到的磋商文件密封性检查、磋商结果确认等工作，按照采购代理机构指引进行。</w:t>
      </w:r>
    </w:p>
    <w:p w14:paraId="740A41A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2.磋商小组</w:t>
      </w:r>
    </w:p>
    <w:p w14:paraId="7C4C42C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2.1磋商开始仪式结束后，采购代理机构将立即组织磋商小组进行评审。</w:t>
      </w:r>
    </w:p>
    <w:p w14:paraId="10F90AA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1E9C878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2.3超过公开招标限额标准的项目，磋商小组应当由5人以上单数组成。</w:t>
      </w:r>
    </w:p>
    <w:p w14:paraId="6F87707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7077678F">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2.5磋商小组独立工作，负责评审所有响应文件并确定成交候选人。</w:t>
      </w:r>
    </w:p>
    <w:p w14:paraId="619E8CD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 磋商评审过程的保密与公正</w:t>
      </w:r>
    </w:p>
    <w:p w14:paraId="7E2A64F9">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3.1磋商小组、采购人和采购代理机构工作人员、相关监督人员等与评审工作有关的人员，对评审情况以及在评审过程中获悉的国家秘密、商业秘密负有保密责任。</w:t>
      </w:r>
    </w:p>
    <w:p w14:paraId="50B753EF">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3.2在磋商评审过程中，磋商供应商不得以任何行为影响磋商评审过程，否则其响应文件将被作为无效响应文件。</w:t>
      </w:r>
    </w:p>
    <w:p w14:paraId="0A46555C">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945F918">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3.4</w:t>
      </w:r>
      <w:r>
        <w:rPr>
          <w:rFonts w:hint="eastAsia" w:ascii="仿宋" w:hAnsi="仿宋" w:eastAsia="仿宋"/>
          <w:bCs/>
          <w:sz w:val="28"/>
          <w:szCs w:val="28"/>
          <w:highlight w:val="none"/>
        </w:rPr>
        <w:t>评审开始后，直至向成交供应商授予合同时止，凡是与审查、澄清、评价和比较响应的有关资料以及授标建议等，采购人、磋商小组、采购代理机构均不得向供应商或与评标无关的其他人员透露。</w:t>
      </w:r>
    </w:p>
    <w:p w14:paraId="1EEB8EA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3.5在评审期间，采购代理机构将设专门人员与供应商联系。</w:t>
      </w:r>
    </w:p>
    <w:p w14:paraId="27A0669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3.6采购代理机构和评审小组不向未成交的供应商解释未成交原因，也不公布评审过程中的相关细节。</w:t>
      </w:r>
    </w:p>
    <w:p w14:paraId="6F07615C">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4.评审过程的澄清</w:t>
      </w:r>
    </w:p>
    <w:p w14:paraId="27D86AE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4.1评审期间，为有助于对响应文件的审查、评价和比较，磋商小组有权要求响应人对其响应文件进行澄清，但并非对每个供应商都作澄清要求。</w:t>
      </w:r>
    </w:p>
    <w:p w14:paraId="4FAFAA3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4.2接到磋商小组澄清要求的供应商应按磋商小组规定的时间和格式做出澄清，澄清的内容作为响应文件的补充部分，但实质性的内容不得做任何更改。</w:t>
      </w:r>
    </w:p>
    <w:p w14:paraId="5E88BF8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4.3 接到磋商小组澄清要求的供应商如未按规定做出澄清，其风</w:t>
      </w:r>
      <w:r>
        <w:rPr>
          <w:rFonts w:hint="eastAsia" w:ascii="仿宋" w:hAnsi="仿宋" w:eastAsia="仿宋"/>
          <w:bCs/>
          <w:sz w:val="28"/>
          <w:szCs w:val="28"/>
          <w:highlight w:val="none"/>
        </w:rPr>
        <w:t>险由供应商自行承担。</w:t>
      </w:r>
    </w:p>
    <w:p w14:paraId="5F34848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5.对响应文件的初审</w:t>
      </w:r>
    </w:p>
    <w:p w14:paraId="129E4B73">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5.1响应文件初审分为资格性审查和符合性审查。</w:t>
      </w:r>
    </w:p>
    <w:p w14:paraId="42AB60A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5.1.1资格性检查：依据法律法规和磋商文件的规定，由采购人对响应文件中的资格审查文件进行审查。</w:t>
      </w:r>
    </w:p>
    <w:p w14:paraId="2171960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5.1.2符合性审查：依据磋商文件的规定，由磋商小组从响应文件的有效性、完整性和对磋商文件的响应程度进行审查，以确定是否对磋商文件的实质性要求作出响应。</w:t>
      </w:r>
    </w:p>
    <w:p w14:paraId="7614922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5.1.3未通过资格审查或符合性审查的供应商人，采购代理机构将告知未通过资格审查或符合性审查的原因，并记录存档。</w:t>
      </w:r>
    </w:p>
    <w:p w14:paraId="42348F09">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3A9EBEF1">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A6FA0C0">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21A2EAAD">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5.4磋商小组将对确定为实质性响应的文件进行进一步审核，看其是否有计算上或累加上的算术错误，修正错误的原则如下：</w:t>
      </w:r>
    </w:p>
    <w:p w14:paraId="43825CB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（1）响应文件中</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内容与响应文件中相应内容不一致的，以</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为准。</w:t>
      </w:r>
    </w:p>
    <w:p w14:paraId="61F3EC7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（2）大写金额和小写金额不一致的，以大写金额为准。</w:t>
      </w:r>
    </w:p>
    <w:p w14:paraId="64535EDA">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（3）单价金额小数点或者百分比有明显错位的，以</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的总价为准，并修改单价。</w:t>
      </w:r>
    </w:p>
    <w:p w14:paraId="74A4E33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（4）总价金额与按单价汇总金额不一致的，以单价金额计算结果为准。</w:t>
      </w:r>
    </w:p>
    <w:p w14:paraId="1933F99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同时出现两种以上错误的，按照前款规定的顺序修正。</w:t>
      </w:r>
    </w:p>
    <w:p w14:paraId="55CCA35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w:t>
      </w:r>
      <w:r>
        <w:rPr>
          <w:rFonts w:hint="eastAsia" w:ascii="仿宋" w:hAnsi="仿宋" w:eastAsia="仿宋"/>
          <w:bCs/>
          <w:sz w:val="28"/>
          <w:szCs w:val="28"/>
          <w:highlight w:val="none"/>
        </w:rPr>
        <w:t>.5磋商小组将按上述修正错误的方法调整响应文件中的报价，并告知供应商，调整后的价格应对供应商具有约束力。如果供应商不接受修正后的价格，则其磋商活动将被拒绝。</w:t>
      </w:r>
    </w:p>
    <w:p w14:paraId="3444749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5.6磋商小组将允许修正响应文件中不构成重大偏离的、微小的、非正规的、不一致的或不规则的地方，但这些修改不能影响任何供应商相应的名次排列。</w:t>
      </w:r>
    </w:p>
    <w:p w14:paraId="6EA4E47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5.7</w:t>
      </w:r>
      <w:r>
        <w:rPr>
          <w:rFonts w:hint="eastAsia" w:ascii="仿宋" w:hAnsi="仿宋" w:eastAsia="仿宋"/>
          <w:sz w:val="28"/>
          <w:szCs w:val="28"/>
          <w:highlight w:val="none"/>
        </w:rPr>
        <w:t>供应商在评审全过程中应保持通讯畅通，并安排专人与采购代理机构及磋商小组联系（适用于不见面磋商模式）。</w:t>
      </w:r>
    </w:p>
    <w:p w14:paraId="3041BA4C">
      <w:pPr>
        <w:tabs>
          <w:tab w:val="left" w:pos="6555"/>
          <w:tab w:val="right" w:pos="8306"/>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 被认定为未实质性响应磋商文件的响应文件的情形。</w:t>
      </w:r>
    </w:p>
    <w:p w14:paraId="0EEBCCCF">
      <w:pPr>
        <w:tabs>
          <w:tab w:val="left" w:pos="6555"/>
          <w:tab w:val="right" w:pos="8306"/>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6.1出现下列情形之一的，作无效响应处理。</w:t>
      </w:r>
      <w:r>
        <w:rPr>
          <w:rFonts w:hint="eastAsia" w:ascii="仿宋" w:hAnsi="仿宋" w:eastAsia="仿宋"/>
          <w:bCs/>
          <w:sz w:val="28"/>
          <w:szCs w:val="28"/>
          <w:highlight w:val="none"/>
        </w:rPr>
        <w:tab/>
      </w:r>
      <w:r>
        <w:rPr>
          <w:rFonts w:hint="eastAsia" w:ascii="仿宋" w:hAnsi="仿宋" w:eastAsia="仿宋"/>
          <w:b/>
          <w:sz w:val="28"/>
          <w:szCs w:val="28"/>
          <w:highlight w:val="none"/>
        </w:rPr>
        <w:tab/>
      </w:r>
    </w:p>
    <w:p w14:paraId="7300BC8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6.1.1供应商在规定的时间内未成功提交磋商响应文件的。</w:t>
      </w:r>
    </w:p>
    <w:p w14:paraId="441AF41A">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6.1.2未完整提交响应文件的。</w:t>
      </w:r>
    </w:p>
    <w:p w14:paraId="05B4547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6.1.3同一供应商提交两个（含两个）以上不同的响应报价的。</w:t>
      </w:r>
    </w:p>
    <w:p w14:paraId="440DF2D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6.1.4不具备磋商文件中规定的资格要求的。 </w:t>
      </w:r>
    </w:p>
    <w:p w14:paraId="5CE2695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6.1.5响应报价超过了采购预算或最高限价的。 </w:t>
      </w:r>
    </w:p>
    <w:p w14:paraId="74D0294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6.1.6未通过符合性检查的。</w:t>
      </w:r>
    </w:p>
    <w:p w14:paraId="5BBA4C53">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6.1.7不符合法律、法规和磋商文件中规定的其他实质性要求的。</w:t>
      </w:r>
    </w:p>
    <w:p w14:paraId="068BE7F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D31527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6.1.9 响应文件含有采购人不能接受的附加条件的。</w:t>
      </w:r>
    </w:p>
    <w:p w14:paraId="137C33C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672BEE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DFCE0D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6.1.12响应文件未按照采购文件要求盖章、密封的。</w:t>
      </w:r>
    </w:p>
    <w:p w14:paraId="351138AA">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6.1.13投标人的商务技术部分得分相差悬殊，评标委员会认为得分畸低者没有实质性响应的。</w:t>
      </w:r>
    </w:p>
    <w:p w14:paraId="3704485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6.1.14其他法律、法规及本磋商文件规定的属无效响应的情形。</w:t>
      </w:r>
    </w:p>
    <w:p w14:paraId="1204FB3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6.2出现下列情形之一的，磋商失败。</w:t>
      </w:r>
    </w:p>
    <w:p w14:paraId="280699B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6.2.1符合条件的供应商或者对磋商文件作实质响应的供应商不足3家的（市场竞争不充分的科研项目，以及需要扶持的科技成果转化项目可以是2家）；</w:t>
      </w:r>
    </w:p>
    <w:p w14:paraId="6BDAE6C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6.2.2出现影响采购公正的违法违规行为的；</w:t>
      </w:r>
    </w:p>
    <w:p w14:paraId="7F056F63">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6.2.3因重大变故，采购任务取消的。</w:t>
      </w:r>
    </w:p>
    <w:p w14:paraId="35ADC63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6.2.4磋商小组认定磋商文件存在歧义、重大缺陷导致评审工作无法进行。</w:t>
      </w:r>
    </w:p>
    <w:p w14:paraId="0A6AB9C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6.2.5 因系统故障原因造成磋商无法继续进行的</w:t>
      </w:r>
      <w:r>
        <w:rPr>
          <w:rFonts w:hint="eastAsia" w:ascii="仿宋" w:hAnsi="仿宋" w:eastAsia="仿宋"/>
          <w:sz w:val="28"/>
          <w:szCs w:val="28"/>
          <w:highlight w:val="none"/>
        </w:rPr>
        <w:t>（适用于不见面磋商模式）</w:t>
      </w:r>
      <w:r>
        <w:rPr>
          <w:rFonts w:hint="eastAsia" w:ascii="仿宋" w:hAnsi="仿宋" w:eastAsia="仿宋"/>
          <w:bCs/>
          <w:sz w:val="28"/>
          <w:szCs w:val="28"/>
          <w:highlight w:val="none"/>
        </w:rPr>
        <w:t>。</w:t>
      </w:r>
    </w:p>
    <w:p w14:paraId="4055E3F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6.3 响应</w:t>
      </w:r>
      <w:r>
        <w:rPr>
          <w:rFonts w:hint="eastAsia" w:ascii="仿宋" w:hAnsi="仿宋" w:eastAsia="仿宋"/>
          <w:sz w:val="28"/>
          <w:szCs w:val="28"/>
          <w:highlight w:val="none"/>
        </w:rPr>
        <w:t>文件提交</w:t>
      </w:r>
      <w:r>
        <w:rPr>
          <w:rFonts w:hint="eastAsia" w:ascii="仿宋" w:hAnsi="仿宋" w:eastAsia="仿宋"/>
          <w:bCs/>
          <w:sz w:val="28"/>
          <w:szCs w:val="28"/>
          <w:highlight w:val="none"/>
        </w:rPr>
        <w:t>截止时间结束后参加磋商的供应商不足三家的处理：</w:t>
      </w:r>
    </w:p>
    <w:p w14:paraId="1215E92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6.3.1如出现响应</w:t>
      </w:r>
      <w:r>
        <w:rPr>
          <w:rFonts w:hint="eastAsia" w:ascii="仿宋" w:hAnsi="仿宋" w:eastAsia="仿宋"/>
          <w:sz w:val="28"/>
          <w:szCs w:val="28"/>
          <w:highlight w:val="none"/>
        </w:rPr>
        <w:t>文件提交</w:t>
      </w:r>
      <w:r>
        <w:rPr>
          <w:rFonts w:hint="eastAsia" w:ascii="仿宋" w:hAnsi="仿宋" w:eastAsia="仿宋"/>
          <w:bCs/>
          <w:sz w:val="28"/>
          <w:szCs w:val="28"/>
          <w:highlight w:val="none"/>
        </w:rPr>
        <w:t>截止时间结束后参加磋商的供应商或者在评审期间对磋商文件做出实质响应的供应商不足三家情况，按政府采购相关规定执行。</w:t>
      </w:r>
    </w:p>
    <w:bookmarkEnd w:id="79"/>
    <w:bookmarkEnd w:id="80"/>
    <w:bookmarkEnd w:id="81"/>
    <w:p w14:paraId="22FCD930">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82" w:name="_Toc120614219"/>
      <w:bookmarkEnd w:id="82"/>
      <w:r>
        <w:rPr>
          <w:rFonts w:hint="eastAsia" w:ascii="仿宋" w:hAnsi="仿宋" w:eastAsia="仿宋"/>
          <w:b/>
          <w:bCs/>
          <w:kern w:val="0"/>
          <w:sz w:val="28"/>
          <w:szCs w:val="28"/>
          <w:highlight w:val="none"/>
        </w:rPr>
        <w:t>六、成交</w:t>
      </w:r>
    </w:p>
    <w:p w14:paraId="4FB227A6">
      <w:pPr>
        <w:keepNext/>
        <w:snapToGrid w:val="0"/>
        <w:spacing w:line="460" w:lineRule="exact"/>
        <w:ind w:firstLine="560" w:firstLineChars="200"/>
        <w:rPr>
          <w:rFonts w:ascii="仿宋" w:hAnsi="仿宋" w:eastAsia="仿宋"/>
          <w:kern w:val="0"/>
          <w:sz w:val="28"/>
          <w:szCs w:val="28"/>
          <w:highlight w:val="none"/>
        </w:rPr>
      </w:pPr>
      <w:bookmarkStart w:id="83" w:name="_Toc16938554"/>
      <w:bookmarkEnd w:id="83"/>
      <w:bookmarkStart w:id="84" w:name="_Toc20823310"/>
      <w:bookmarkEnd w:id="84"/>
      <w:r>
        <w:rPr>
          <w:rFonts w:hint="eastAsia" w:ascii="仿宋" w:hAnsi="仿宋" w:eastAsia="仿宋"/>
          <w:kern w:val="0"/>
          <w:sz w:val="28"/>
          <w:szCs w:val="28"/>
          <w:highlight w:val="none"/>
        </w:rPr>
        <w:t>1.确定成交单位</w:t>
      </w:r>
    </w:p>
    <w:p w14:paraId="1213ADE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1.1成交候选供应商的选取原则和数量见磋商文件第四部分规定。 </w:t>
      </w:r>
    </w:p>
    <w:p w14:paraId="32EB4DC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 采购人授权磋商小组在成交候选供应商中直接确定成交供应商。</w:t>
      </w:r>
    </w:p>
    <w:p w14:paraId="77DB83E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1.3 </w:t>
      </w:r>
      <w:r>
        <w:rPr>
          <w:rFonts w:hint="eastAsia" w:ascii="仿宋" w:hAnsi="仿宋" w:eastAsia="仿宋"/>
          <w:sz w:val="28"/>
          <w:szCs w:val="28"/>
          <w:highlight w:val="none"/>
        </w:rPr>
        <w:t>采购代理机构将在“南通市卫生健康委员会网站、学校网站”发布成交结果公告，公告期限为1个工作日。</w:t>
      </w:r>
    </w:p>
    <w:p w14:paraId="06DF62F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1.4若有充分证据证明，成交供应商出现下列情况之一的，一经查实，将被取消成交资格：</w:t>
      </w:r>
    </w:p>
    <w:p w14:paraId="2D1E383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1.4.1提供虚假材料谋取成交的。</w:t>
      </w:r>
    </w:p>
    <w:p w14:paraId="69A4951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1.4.2向采购人、采购代理机构行贿或者评审专家提供其他不正当利益的。</w:t>
      </w:r>
    </w:p>
    <w:p w14:paraId="6608E5B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1.4.3恶意竞争，最终总报价明显低于其自身合理成本且又无法提供证明的。</w:t>
      </w:r>
    </w:p>
    <w:p w14:paraId="4607F97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1.4.4属于本文件规定的无效条件，但在评审过程中又未被磋商小组发现的。</w:t>
      </w:r>
    </w:p>
    <w:p w14:paraId="00750A9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1.4.5与采购人或者其他供应商恶意串通的。</w:t>
      </w:r>
    </w:p>
    <w:p w14:paraId="2E4AA5D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1.4.6采取不正当手段诋毁、排挤其他供应商的。</w:t>
      </w:r>
    </w:p>
    <w:p w14:paraId="5F742405">
      <w:pPr>
        <w:snapToGrid w:val="0"/>
        <w:spacing w:line="460" w:lineRule="exact"/>
        <w:ind w:firstLine="560" w:firstLineChars="200"/>
        <w:rPr>
          <w:rFonts w:ascii="仿宋" w:hAnsi="仿宋" w:eastAsia="仿宋"/>
          <w:sz w:val="28"/>
          <w:szCs w:val="28"/>
          <w:highlight w:val="none"/>
        </w:rPr>
      </w:pPr>
      <w:bookmarkStart w:id="85" w:name="_Toc200451960"/>
      <w:r>
        <w:rPr>
          <w:rFonts w:hint="eastAsia" w:ascii="仿宋" w:hAnsi="仿宋" w:eastAsia="仿宋"/>
          <w:sz w:val="28"/>
          <w:szCs w:val="28"/>
          <w:highlight w:val="none"/>
        </w:rPr>
        <w:t>1.5.</w:t>
      </w:r>
      <w:r>
        <w:rPr>
          <w:rFonts w:hint="eastAsia" w:ascii="仿宋" w:hAnsi="仿宋" w:eastAsia="仿宋"/>
          <w:kern w:val="0"/>
          <w:sz w:val="28"/>
          <w:szCs w:val="28"/>
          <w:highlight w:val="none"/>
        </w:rPr>
        <w:t>有下列情形之一的，视为供应商串通参与磋商，响应无效：</w:t>
      </w:r>
    </w:p>
    <w:p w14:paraId="1CF8042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1.5.1不同供应商的响应文件由同一单位或者个人编制；</w:t>
      </w:r>
    </w:p>
    <w:p w14:paraId="2D11F54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1.5.2不同供应商委托同一单位或者个人办理磋商事宜；</w:t>
      </w:r>
    </w:p>
    <w:p w14:paraId="0FF01EF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1.5.3不同供应商的响应文件载明的项目管理成员或者联系人员为同一人；</w:t>
      </w:r>
    </w:p>
    <w:p w14:paraId="59F4C9F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1.5.4不同供应商的响应文件异常一致或者响应报价呈规律性差异。</w:t>
      </w:r>
    </w:p>
    <w:bookmarkEnd w:id="85"/>
    <w:p w14:paraId="076994B3">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2.质疑处理</w:t>
      </w:r>
    </w:p>
    <w:p w14:paraId="2EF695A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 提出质疑的供应商应当是参与所质疑项目采购活动的供应商。潜在供应商依法获取其可质疑的磋商文件的，可以对磋商文件提出质疑。</w:t>
      </w:r>
    </w:p>
    <w:p w14:paraId="5434FC3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5D51791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2.2.1</w:t>
      </w:r>
      <w:r>
        <w:rPr>
          <w:rFonts w:hint="eastAsia" w:ascii="仿宋" w:hAnsi="仿宋" w:eastAsia="仿宋"/>
          <w:kern w:val="0"/>
          <w:sz w:val="28"/>
          <w:szCs w:val="28"/>
          <w:highlight w:val="none"/>
        </w:rPr>
        <w:t>对可以质疑的磋商文件提出质疑的，为收到磋商文件之日或者磋商文件公告期限届满之日；</w:t>
      </w:r>
    </w:p>
    <w:p w14:paraId="13600B0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2.2.2</w:t>
      </w:r>
      <w:r>
        <w:rPr>
          <w:rFonts w:hint="eastAsia" w:ascii="仿宋" w:hAnsi="仿宋" w:eastAsia="仿宋"/>
          <w:kern w:val="0"/>
          <w:sz w:val="28"/>
          <w:szCs w:val="28"/>
          <w:highlight w:val="none"/>
        </w:rPr>
        <w:t>对采购过程提出质疑的，为各采购程序环节结束之日；</w:t>
      </w:r>
    </w:p>
    <w:p w14:paraId="415BC85E">
      <w:pPr>
        <w:snapToGrid w:val="0"/>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223DCB4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2.2.3</w:t>
      </w:r>
      <w:r>
        <w:rPr>
          <w:rFonts w:hint="eastAsia" w:ascii="仿宋" w:hAnsi="仿宋" w:eastAsia="仿宋"/>
          <w:kern w:val="0"/>
          <w:sz w:val="28"/>
          <w:szCs w:val="28"/>
          <w:highlight w:val="none"/>
        </w:rPr>
        <w:t>对成交结果提出质疑的，为成交结果公告期限届满之日。</w:t>
      </w:r>
    </w:p>
    <w:p w14:paraId="60CC65FD">
      <w:pPr>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供应商应当在法定质疑期内一次性提出针对同一采购程序环节的质疑。</w:t>
      </w:r>
    </w:p>
    <w:p w14:paraId="23580E1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4DB4D89C">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2.4对采购方式、</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文件中项目需求、供应商资格条件、评标方法和评标标准、资格审查结果等应当由</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人答复的质疑，请向</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人提出。供应商对其他事项的质疑，请向代理机构提出。</w:t>
      </w:r>
    </w:p>
    <w:p w14:paraId="15BDA488">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供应商提起质疑采取书面形式，可以现场送达，也可以邮寄。</w:t>
      </w:r>
    </w:p>
    <w:p w14:paraId="340CCAA9">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人及</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代理机构质疑接收人及联系方式，见</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文件第一部分。</w:t>
      </w:r>
    </w:p>
    <w:p w14:paraId="0592DB8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 以下情形的质疑不予受理</w:t>
      </w:r>
    </w:p>
    <w:p w14:paraId="76A3F5C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2.5.1 内容不符合《政府采购质疑和投诉办法》第十二条规定的质疑。</w:t>
      </w:r>
    </w:p>
    <w:p w14:paraId="6DD1E6C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2.5.2 超出政府采购法定期限的质疑。</w:t>
      </w:r>
    </w:p>
    <w:p w14:paraId="74F5743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2.5.3 未参加磋商活动的供应商或在磋商活动中自身权益未受到损害的供应商所提出的质疑。</w:t>
      </w:r>
    </w:p>
    <w:p w14:paraId="2707D2C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2.5.4供应商组成联合体参加磋商，联合体中任何一方或多方未按要求签字、盖章、加盖公章的质疑。</w:t>
      </w:r>
    </w:p>
    <w:p w14:paraId="08BCAF7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6BA7D83B">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3．成交通知书</w:t>
      </w:r>
    </w:p>
    <w:p w14:paraId="78B4D88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3.l</w:t>
      </w:r>
      <w:r>
        <w:rPr>
          <w:rFonts w:hint="eastAsia" w:ascii="仿宋" w:hAnsi="仿宋" w:eastAsia="仿宋"/>
          <w:b/>
          <w:sz w:val="28"/>
          <w:szCs w:val="28"/>
          <w:highlight w:val="none"/>
        </w:rPr>
        <w:t xml:space="preserve"> </w:t>
      </w:r>
      <w:r>
        <w:rPr>
          <w:rFonts w:hint="eastAsia" w:ascii="仿宋" w:hAnsi="仿宋" w:eastAsia="仿宋"/>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14:paraId="2101575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3254C636">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86" w:name="_Toc120614220"/>
      <w:bookmarkEnd w:id="86"/>
      <w:bookmarkStart w:id="87" w:name="_Toc16938552"/>
      <w:bookmarkStart w:id="88" w:name="_Toc513029236"/>
      <w:bookmarkStart w:id="89" w:name="_Toc20823308"/>
      <w:r>
        <w:rPr>
          <w:rFonts w:hint="eastAsia" w:ascii="仿宋" w:hAnsi="仿宋" w:eastAsia="仿宋"/>
          <w:b/>
          <w:bCs/>
          <w:kern w:val="0"/>
          <w:sz w:val="28"/>
          <w:szCs w:val="28"/>
          <w:highlight w:val="none"/>
        </w:rPr>
        <w:t>七、授予合同</w:t>
      </w:r>
    </w:p>
    <w:bookmarkEnd w:id="87"/>
    <w:bookmarkEnd w:id="88"/>
    <w:bookmarkEnd w:id="89"/>
    <w:p w14:paraId="0C9EAE42">
      <w:pPr>
        <w:keepNext/>
        <w:snapToGrid w:val="0"/>
        <w:spacing w:line="460" w:lineRule="exact"/>
        <w:ind w:firstLine="560" w:firstLineChars="200"/>
        <w:rPr>
          <w:rFonts w:ascii="仿宋" w:hAnsi="仿宋" w:eastAsia="仿宋"/>
          <w:kern w:val="0"/>
          <w:sz w:val="28"/>
          <w:szCs w:val="28"/>
          <w:highlight w:val="none"/>
        </w:rPr>
      </w:pPr>
      <w:bookmarkStart w:id="90" w:name="_Toc20823309"/>
      <w:bookmarkStart w:id="91" w:name="_Toc16938553"/>
      <w:bookmarkStart w:id="92" w:name="_Toc513029237"/>
      <w:r>
        <w:rPr>
          <w:rFonts w:hint="eastAsia" w:ascii="仿宋" w:hAnsi="仿宋" w:eastAsia="仿宋"/>
          <w:kern w:val="0"/>
          <w:sz w:val="28"/>
          <w:szCs w:val="28"/>
          <w:highlight w:val="none"/>
        </w:rPr>
        <w:t>1.签订合同</w:t>
      </w:r>
    </w:p>
    <w:p w14:paraId="1232ACC1">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w:t>
      </w:r>
      <w:r>
        <w:rPr>
          <w:rFonts w:hint="eastAsia" w:ascii="仿宋" w:hAnsi="仿宋" w:eastAsia="仿宋"/>
          <w:sz w:val="28"/>
          <w:szCs w:val="28"/>
          <w:highlight w:val="none"/>
        </w:rPr>
        <w:t>.l成交供应商应当在成交通知书发出之日起三十日内，按照磋商文件确定的事项与采购人签订政府采购合同。</w:t>
      </w:r>
    </w:p>
    <w:p w14:paraId="5DDE123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1.2磋商文件、成交供应商的响应文件及磋商过程中有关澄清、承诺文件均应作为合同附件。</w:t>
      </w:r>
    </w:p>
    <w:p w14:paraId="5D0E37B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4B77565">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2.货物和服务的追加、减少和添购。</w:t>
      </w:r>
    </w:p>
    <w:p w14:paraId="6EDA23E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7E546E76">
      <w:pPr>
        <w:keepNext/>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7C3ABAF8">
      <w:pPr>
        <w:snapToGrid w:val="0"/>
        <w:spacing w:line="360" w:lineRule="auto"/>
        <w:ind w:firstLine="562" w:firstLineChars="200"/>
        <w:rPr>
          <w:rFonts w:ascii="仿宋" w:hAnsi="仿宋" w:eastAsia="仿宋"/>
          <w:b/>
          <w:sz w:val="28"/>
          <w:szCs w:val="28"/>
          <w:highlight w:val="none"/>
        </w:rPr>
      </w:pPr>
    </w:p>
    <w:bookmarkEnd w:id="90"/>
    <w:bookmarkEnd w:id="91"/>
    <w:bookmarkEnd w:id="92"/>
    <w:p w14:paraId="69314E6C">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br w:type="page"/>
      </w:r>
      <w:r>
        <w:rPr>
          <w:rFonts w:hint="eastAsia" w:ascii="仿宋" w:hAnsi="仿宋" w:eastAsia="仿宋"/>
          <w:bCs/>
          <w:sz w:val="36"/>
          <w:szCs w:val="36"/>
          <w:highlight w:val="none"/>
        </w:rPr>
        <w:t>第三部分 项目需求</w:t>
      </w:r>
    </w:p>
    <w:p w14:paraId="7ED62092">
      <w:pPr>
        <w:snapToGrid w:val="0"/>
        <w:spacing w:line="46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AF4D8D1">
      <w:pPr>
        <w:pStyle w:val="121"/>
        <w:ind w:firstLine="551"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项目清单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311"/>
        <w:gridCol w:w="5175"/>
        <w:gridCol w:w="586"/>
        <w:gridCol w:w="816"/>
      </w:tblGrid>
      <w:tr w14:paraId="66F9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5" w:type="dxa"/>
            <w:vAlign w:val="center"/>
          </w:tcPr>
          <w:p w14:paraId="30CFB2C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1311" w:type="dxa"/>
            <w:vAlign w:val="center"/>
          </w:tcPr>
          <w:p w14:paraId="3FB7BC3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名称</w:t>
            </w:r>
          </w:p>
        </w:tc>
        <w:tc>
          <w:tcPr>
            <w:tcW w:w="5175" w:type="dxa"/>
            <w:vAlign w:val="center"/>
          </w:tcPr>
          <w:p w14:paraId="52959D8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技术参数</w:t>
            </w:r>
          </w:p>
        </w:tc>
        <w:tc>
          <w:tcPr>
            <w:tcW w:w="586" w:type="dxa"/>
            <w:vAlign w:val="center"/>
          </w:tcPr>
          <w:p w14:paraId="7E4B0DB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单位</w:t>
            </w:r>
          </w:p>
        </w:tc>
        <w:tc>
          <w:tcPr>
            <w:tcW w:w="816" w:type="dxa"/>
            <w:vAlign w:val="center"/>
          </w:tcPr>
          <w:p w14:paraId="441E548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数量</w:t>
            </w:r>
          </w:p>
        </w:tc>
      </w:tr>
      <w:tr w14:paraId="1A22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23" w:type="dxa"/>
            <w:gridSpan w:val="5"/>
            <w:vAlign w:val="center"/>
          </w:tcPr>
          <w:p w14:paraId="1318D866">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实验室家具及装修</w:t>
            </w:r>
          </w:p>
        </w:tc>
      </w:tr>
      <w:tr w14:paraId="7F1A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7B4BF1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311" w:type="dxa"/>
            <w:vAlign w:val="center"/>
          </w:tcPr>
          <w:p w14:paraId="75E8398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中药炮制试验台</w:t>
            </w:r>
          </w:p>
        </w:tc>
        <w:tc>
          <w:tcPr>
            <w:tcW w:w="5175" w:type="dxa"/>
            <w:vAlign w:val="center"/>
          </w:tcPr>
          <w:p w14:paraId="78C428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1、2250mm*1200mm*800mm、依据全国职业院校技能大赛竞赛区赛场标准设计、布局。</w:t>
            </w:r>
          </w:p>
          <w:p w14:paraId="3D9169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2、台面：选用304不锈钢一体台面，具有卓越的抗弯、抗冲击等性能，更能承载重物不易受压而弯曲变形。</w:t>
            </w:r>
          </w:p>
          <w:p w14:paraId="6888A3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3、柜体：18mm厚实验室专用环保饰面板，表面色泽均匀，质感强，有很强的装饰效果。</w:t>
            </w:r>
          </w:p>
          <w:p w14:paraId="7929E3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4、基板：采用18mm厚优质环保三聚氰胺板 ，断面以热熔粒籽胶及2mm厚的PVC封边条封边，作防水防潮处理。所有板件三合一连接，结构稳固，承重性能好且易于拆卸，利于在实验室这个特殊的工作环境中使用。</w:t>
            </w:r>
          </w:p>
          <w:p w14:paraId="38E340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5、门板、抽屉板采用18mm厚优质三聚氰胺板黏结牢固可靠；</w:t>
            </w:r>
          </w:p>
          <w:p w14:paraId="65D68D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6、层板：采用16mm厚的优质三聚氰胺板；</w:t>
            </w:r>
          </w:p>
          <w:p w14:paraId="3ACB27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7、拉手：采用PVC一字型拉手。</w:t>
            </w:r>
          </w:p>
          <w:p w14:paraId="423B56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8、铰链：优质合金铰链，弹性好，外形美观，使用过程中无噪音，耐腐蚀，使用寿命长。</w:t>
            </w:r>
          </w:p>
          <w:p w14:paraId="0EAF96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9、导轨：采用优质滑动静音导轨，耐腐蚀、承重、经久耐用。</w:t>
            </w:r>
          </w:p>
          <w:p w14:paraId="483F2C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10、每个试验台配多功能五孔220V/10A插座。电线：采用2.5平方三芯铜质电线连接到室内供电开关处，电线、插座符合国家电工技术及认证标准。</w:t>
            </w:r>
          </w:p>
          <w:p w14:paraId="6535D91E">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11、单冷水龙头（单出水口），实验室水槽（一个）。</w:t>
            </w:r>
          </w:p>
        </w:tc>
        <w:tc>
          <w:tcPr>
            <w:tcW w:w="586" w:type="dxa"/>
            <w:vAlign w:val="center"/>
          </w:tcPr>
          <w:p w14:paraId="7B51F97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组</w:t>
            </w:r>
          </w:p>
        </w:tc>
        <w:tc>
          <w:tcPr>
            <w:tcW w:w="816" w:type="dxa"/>
            <w:vAlign w:val="center"/>
          </w:tcPr>
          <w:p w14:paraId="3FD8A01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r>
      <w:tr w14:paraId="7262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1BEAF59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311" w:type="dxa"/>
            <w:vAlign w:val="center"/>
          </w:tcPr>
          <w:p w14:paraId="5D64335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药品存放台（边台）</w:t>
            </w:r>
          </w:p>
        </w:tc>
        <w:tc>
          <w:tcPr>
            <w:tcW w:w="5175" w:type="dxa"/>
            <w:vAlign w:val="center"/>
          </w:tcPr>
          <w:p w14:paraId="783CBD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1、1000mm*650mm*800mm、台面：采用国标12.7mm厚实芯理化板，耐酸碱盐腐蚀。边缘加厚并做小R型抛光处理。不易磨损、防火防潮、质地坚硬不变型，能抗冲击经久耐用，抗菌防静电耐高温等优点。</w:t>
            </w:r>
          </w:p>
          <w:p w14:paraId="64C1540D">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柜体：18mm厚实验室专用环保饰面板，表面色泽均匀，质感强，有很强的装饰效果。</w:t>
            </w:r>
          </w:p>
          <w:p w14:paraId="7EE0665F">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3、基板：采用18mm厚优质环保三聚氰胺板 ，断面以热熔粒籽胶及2mm厚的PVC封边条封边，作防水防潮处理。所有板件三合一连接，结构稳固，承重性能好且易于拆卸，利于在实验室这个特殊的工作环境中使用。</w:t>
            </w:r>
          </w:p>
          <w:p w14:paraId="4F8037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4、门板、抽屉板采用18mm厚优质三聚氰胺板黏结牢固可靠；</w:t>
            </w:r>
          </w:p>
          <w:p w14:paraId="3A2FF17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5、层板：采用16mm厚的优质三聚氰胺板；</w:t>
            </w:r>
          </w:p>
          <w:p w14:paraId="44E5DA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6、拉手：采用PVC一字型拉手。</w:t>
            </w:r>
          </w:p>
          <w:p w14:paraId="5A68C1E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7、铰链：优质合金铰链，弹性好，外形美观，使用过程中无噪音，耐腐蚀，使用寿命长。</w:t>
            </w:r>
          </w:p>
          <w:p w14:paraId="3149EF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8、导轨：采用优质滑动静音导轨，耐腐蚀、承重、经久耐用。</w:t>
            </w:r>
          </w:p>
          <w:p w14:paraId="779A07EC">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9、试验台配多功能五孔220V/10A插座。电线：采用2.5平方三芯铜质电线连接到室内供电开关处，电线、插座符合国家电工技术及认证标准。</w:t>
            </w:r>
          </w:p>
        </w:tc>
        <w:tc>
          <w:tcPr>
            <w:tcW w:w="586" w:type="dxa"/>
            <w:vAlign w:val="center"/>
          </w:tcPr>
          <w:p w14:paraId="45ED6DE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组</w:t>
            </w:r>
          </w:p>
        </w:tc>
        <w:tc>
          <w:tcPr>
            <w:tcW w:w="816" w:type="dxa"/>
            <w:vAlign w:val="center"/>
          </w:tcPr>
          <w:p w14:paraId="7F42524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r>
      <w:tr w14:paraId="0105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297321C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311" w:type="dxa"/>
            <w:vAlign w:val="center"/>
          </w:tcPr>
          <w:p w14:paraId="4E57B672">
            <w:pPr>
              <w:keepNext w:val="0"/>
              <w:keepLines w:val="0"/>
              <w:widowControl/>
              <w:suppressLineNumbers w:val="0"/>
              <w:jc w:val="center"/>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灶具</w:t>
            </w:r>
          </w:p>
        </w:tc>
        <w:tc>
          <w:tcPr>
            <w:tcW w:w="5175" w:type="dxa"/>
            <w:vAlign w:val="center"/>
          </w:tcPr>
          <w:p w14:paraId="0C4ED7DF">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煤气灶：双灶煤气灶；钢化玻璃面板、厚度8mm、金属包边;锻压铜火盖；硅铝合金炉头；全进风或上进风；0秒点火；一级能耗。</w:t>
            </w:r>
          </w:p>
          <w:p w14:paraId="40C7121A">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i w:val="0"/>
                <w:iCs w:val="0"/>
                <w:color w:val="000000"/>
                <w:kern w:val="0"/>
                <w:sz w:val="24"/>
                <w:szCs w:val="24"/>
                <w:highlight w:val="none"/>
                <w:u w:val="none"/>
                <w:lang w:val="en-US" w:eastAsia="zh-CN" w:bidi="ar"/>
              </w:rPr>
              <w:t>品牌限选：老板、方太、华帝</w:t>
            </w:r>
          </w:p>
          <w:p w14:paraId="6538D68C">
            <w:pPr>
              <w:keepNext w:val="0"/>
              <w:keepLines w:val="0"/>
              <w:widowControl/>
              <w:suppressLineNumbers w:val="0"/>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2、报警器：检测煤气。</w:t>
            </w:r>
          </w:p>
        </w:tc>
        <w:tc>
          <w:tcPr>
            <w:tcW w:w="586" w:type="dxa"/>
            <w:vAlign w:val="center"/>
          </w:tcPr>
          <w:p w14:paraId="4132C1D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4FB46D4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r>
      <w:tr w14:paraId="36F2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78CA279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311" w:type="dxa"/>
            <w:vAlign w:val="center"/>
          </w:tcPr>
          <w:p w14:paraId="33A0B82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方凳</w:t>
            </w:r>
          </w:p>
        </w:tc>
        <w:tc>
          <w:tcPr>
            <w:tcW w:w="5175" w:type="dxa"/>
            <w:vAlign w:val="center"/>
          </w:tcPr>
          <w:p w14:paraId="2377CC97">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钢木小凳子， 34*24*45cm尺寸，颜色搭配可根据学校要求</w:t>
            </w:r>
          </w:p>
        </w:tc>
        <w:tc>
          <w:tcPr>
            <w:tcW w:w="586" w:type="dxa"/>
            <w:vAlign w:val="center"/>
          </w:tcPr>
          <w:p w14:paraId="2461BA0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16" w:type="dxa"/>
            <w:vAlign w:val="center"/>
          </w:tcPr>
          <w:p w14:paraId="73E0F68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r>
      <w:tr w14:paraId="1425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49E25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311" w:type="dxa"/>
            <w:vAlign w:val="center"/>
          </w:tcPr>
          <w:p w14:paraId="765BA91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消防应急灯</w:t>
            </w:r>
          </w:p>
        </w:tc>
        <w:tc>
          <w:tcPr>
            <w:tcW w:w="5175" w:type="dxa"/>
            <w:vAlign w:val="center"/>
          </w:tcPr>
          <w:p w14:paraId="0082900F">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产品经过消防安检，国标</w:t>
            </w:r>
          </w:p>
        </w:tc>
        <w:tc>
          <w:tcPr>
            <w:tcW w:w="586" w:type="dxa"/>
            <w:vAlign w:val="center"/>
          </w:tcPr>
          <w:p w14:paraId="3FA97F9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16" w:type="dxa"/>
            <w:vAlign w:val="center"/>
          </w:tcPr>
          <w:p w14:paraId="0EDDA6D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r>
      <w:tr w14:paraId="5BF4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27D1E6C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311" w:type="dxa"/>
            <w:vAlign w:val="center"/>
          </w:tcPr>
          <w:p w14:paraId="1C921CF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灭火设备</w:t>
            </w:r>
          </w:p>
        </w:tc>
        <w:tc>
          <w:tcPr>
            <w:tcW w:w="5175" w:type="dxa"/>
            <w:vAlign w:val="center"/>
          </w:tcPr>
          <w:p w14:paraId="152D1415">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含4kg灭火器2个，灭火箱1个。国标。</w:t>
            </w:r>
          </w:p>
        </w:tc>
        <w:tc>
          <w:tcPr>
            <w:tcW w:w="586" w:type="dxa"/>
            <w:vAlign w:val="center"/>
          </w:tcPr>
          <w:p w14:paraId="7D2C9CE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5EC781E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r>
      <w:tr w14:paraId="7BF3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46A0763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1311" w:type="dxa"/>
            <w:vAlign w:val="center"/>
          </w:tcPr>
          <w:p w14:paraId="161CFDC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灭火毯</w:t>
            </w:r>
          </w:p>
        </w:tc>
        <w:tc>
          <w:tcPr>
            <w:tcW w:w="5175" w:type="dxa"/>
            <w:vAlign w:val="center"/>
          </w:tcPr>
          <w:p w14:paraId="71106A5A">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1500*1500，国标</w:t>
            </w:r>
          </w:p>
        </w:tc>
        <w:tc>
          <w:tcPr>
            <w:tcW w:w="586" w:type="dxa"/>
            <w:vAlign w:val="center"/>
          </w:tcPr>
          <w:p w14:paraId="0DB0F96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16" w:type="dxa"/>
            <w:vAlign w:val="center"/>
          </w:tcPr>
          <w:p w14:paraId="0D1C5E2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r>
      <w:tr w14:paraId="4D18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D72543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311" w:type="dxa"/>
            <w:vAlign w:val="center"/>
          </w:tcPr>
          <w:p w14:paraId="7E343A6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消防沙箱</w:t>
            </w:r>
          </w:p>
        </w:tc>
        <w:tc>
          <w:tcPr>
            <w:tcW w:w="5175" w:type="dxa"/>
            <w:vAlign w:val="center"/>
          </w:tcPr>
          <w:p w14:paraId="054B43C3">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国产定制</w:t>
            </w:r>
          </w:p>
        </w:tc>
        <w:tc>
          <w:tcPr>
            <w:tcW w:w="586" w:type="dxa"/>
            <w:vAlign w:val="center"/>
          </w:tcPr>
          <w:p w14:paraId="790E88A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044ED68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r>
      <w:tr w14:paraId="48D8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1C0C9DA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311" w:type="dxa"/>
            <w:vAlign w:val="center"/>
          </w:tcPr>
          <w:p w14:paraId="5E04B25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紧急喷淋系统</w:t>
            </w:r>
          </w:p>
        </w:tc>
        <w:tc>
          <w:tcPr>
            <w:tcW w:w="5175" w:type="dxa"/>
            <w:vAlign w:val="center"/>
          </w:tcPr>
          <w:p w14:paraId="6EB6C031">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主体材料：食品级 316不锈钢，厚度：不低于3mm，Ni含量大于8%，钼含量大于2%。可以抗弱酸、碱、盐和油类腐蚀的现场</w:t>
            </w:r>
          </w:p>
          <w:p w14:paraId="400CEA75">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p w14:paraId="451997B4">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3、根据GB/T 38144.1-2019标准之规定，紧急冲淋的喷淋系统和洗眼系统易于操作，操作者一个人就可以完成，不需要其他人员协助；</w:t>
            </w:r>
          </w:p>
          <w:p w14:paraId="167A2133">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4、紧急冲淋正常水压要求：0.3—0.6 MPa，管件密封部件必须承受 1 MPa 长时间没有泄漏；</w:t>
            </w:r>
          </w:p>
          <w:p w14:paraId="67227CDC">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5、工作压力：0.3—0.6Mpa</w:t>
            </w:r>
          </w:p>
          <w:p w14:paraId="7FF5E6B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6、密封压力：0.8Mpa</w:t>
            </w:r>
          </w:p>
          <w:p w14:paraId="21E1F5E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7、喷淋流量：&gt;75.7L/min</w:t>
            </w:r>
          </w:p>
          <w:p w14:paraId="2DEE3D20">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8、洗眼流量：&gt;11.4L/min</w:t>
            </w:r>
          </w:p>
          <w:p w14:paraId="2E8920CE">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9、洗眼器进水口尺寸：DN25</w:t>
            </w:r>
          </w:p>
          <w:p w14:paraId="1B9413B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10、洗眼系统排水口尺寸：DN25</w:t>
            </w:r>
          </w:p>
          <w:p w14:paraId="17FEB5D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11、排水盘排水口尺寸：DN40</w:t>
            </w:r>
          </w:p>
          <w:p w14:paraId="46449528">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12、喷淋系统要求：在距离使用者站立平面1520mm的地方，喷淋范围直径最小应为510mm，冲洗液分散形式应始终保持一致并充分散开。喷淋范围的中心距离任何障碍物的最小距离应为410mm。</w:t>
            </w:r>
          </w:p>
          <w:p w14:paraId="56D42ACC">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13、洗眼系统要求：喷头应位于距离使用者站立的水平面至少838mm的高度上，但不得超过1143mm，且距离墙壁或最近的障碍物至少153mm。</w:t>
            </w:r>
          </w:p>
          <w:p w14:paraId="4CFE2B4E">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14、冲淋喷头高度：冲淋喷头距离安装平面高度在2080-2440mm.该距离从使用者站立的平面计算。</w:t>
            </w:r>
          </w:p>
          <w:p w14:paraId="2236E93D">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15、阀门驱动装置高度：到使用者站立平面的高度不应超过1730mm。</w:t>
            </w:r>
          </w:p>
          <w:p w14:paraId="76D9749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16、冲淋喷头流量：在水流压力最低0.2MPa下，应以至少76L/min的流量提供冲洗液，保持连续冲洗至少15min。</w:t>
            </w:r>
          </w:p>
          <w:p w14:paraId="3E3C577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17、洗眼器喷头流量：测试压力0.20MPa，测试时间3min/次，能保持洗眼时间15min。</w:t>
            </w:r>
          </w:p>
          <w:p w14:paraId="7A6E7A2E">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18、开启时间：冲淋手拉阀开启时间≤1s，洗眼器阀门开启时间≤1s。</w:t>
            </w:r>
          </w:p>
          <w:p w14:paraId="484A09D9">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19、不锈钢手推柄配100mm*100mm绿底白色洗眼符号牌。</w:t>
            </w:r>
          </w:p>
          <w:p w14:paraId="484D7918">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20、主体1500mm以上管子处、或者可以贴在墙体上配200mm*300mm绿底白色洗眼符号塑料标。</w:t>
            </w:r>
          </w:p>
          <w:p w14:paraId="189BE938">
            <w:pPr>
              <w:pStyle w:val="4"/>
              <w:numPr>
                <w:ilvl w:val="0"/>
                <w:numId w:val="0"/>
              </w:numP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▲提供紧急冲淋洗眼器-塑料配件抗老化测试报告，要求依据GB/T 16422.3-2014标准测试，测试结果为</w:t>
            </w:r>
            <w:r>
              <w:rPr>
                <w:rFonts w:hint="eastAsia" w:ascii="仿宋" w:hAnsi="仿宋" w:eastAsia="仿宋" w:cs="仿宋"/>
                <w:b w:val="0"/>
                <w:bCs/>
                <w:kern w:val="2"/>
                <w:sz w:val="24"/>
                <w:szCs w:val="24"/>
                <w:u w:val="none"/>
                <w:lang w:eastAsia="zh-CN"/>
              </w:rPr>
              <w:t>≤0.20，</w:t>
            </w:r>
            <w:r>
              <w:rPr>
                <w:rFonts w:hint="eastAsia" w:ascii="仿宋" w:hAnsi="仿宋" w:eastAsia="仿宋" w:cs="仿宋"/>
                <w:i w:val="0"/>
                <w:iCs w:val="0"/>
                <w:color w:val="000000"/>
                <w:kern w:val="0"/>
                <w:sz w:val="24"/>
                <w:szCs w:val="24"/>
                <w:u w:val="none"/>
                <w:lang w:val="en-US" w:eastAsia="zh-CN" w:bidi="ar"/>
              </w:rPr>
              <w:t>外观无明显变化。要求测试报告加盖CMA或CNAS章</w:t>
            </w:r>
          </w:p>
        </w:tc>
        <w:tc>
          <w:tcPr>
            <w:tcW w:w="586" w:type="dxa"/>
            <w:vAlign w:val="center"/>
          </w:tcPr>
          <w:p w14:paraId="2104922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50029CB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r>
      <w:tr w14:paraId="4D3A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4BE2C1E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311" w:type="dxa"/>
            <w:vAlign w:val="center"/>
          </w:tcPr>
          <w:p w14:paraId="19F8A3B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教师讲台</w:t>
            </w:r>
          </w:p>
        </w:tc>
        <w:tc>
          <w:tcPr>
            <w:tcW w:w="5175" w:type="dxa"/>
            <w:vAlign w:val="center"/>
          </w:tcPr>
          <w:p w14:paraId="63EC1F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规格：1200长* 750宽* 970mm高</w:t>
            </w:r>
          </w:p>
          <w:p w14:paraId="7F358D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柜体主要部分采用材料厚度为1.0mm的优质冷轧钢板，经过数控冲床、折边、激光切割一次成型，操作方便、经久耐用，柜体四周采用45度圆弧设计，柜体内留有穿线孔，方便设备连接柜，体背面板材留有设备散热孔。</w:t>
            </w:r>
          </w:p>
          <w:p w14:paraId="490558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2、钢木结合材料一体成型，扶手和桌面采用实木耐划台面，厚度12mm，防火，防尘，防水、耐刮，外形全封闭式结构，保障多媒体设备的安全性。</w:t>
            </w:r>
          </w:p>
          <w:p w14:paraId="5E3EC0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3、整体采用分体式结构，上下两部分采用分体组装，上面外形规格1200*750* 350（mm），下面外形规格1000* 640* 620（mm），金属外表酸洗除油磷化镀膜处理，表面采用树脂粉末喷塑，颜色为亚光灰白。</w:t>
            </w:r>
          </w:p>
          <w:p w14:paraId="534874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4、盖门采取隐藏翻盖式，内置液晶显示屏支架，可安放17-22寸显示屏，显示器、中央控制系统、键盘互不影响独立操作，右侧采用隐藏抽拉式设计，放置视频展示台。</w:t>
            </w:r>
          </w:p>
          <w:p w14:paraId="33F4AB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5、适用范围：置放电脑显示器、主机、中控、视频展台、DVD、音响。 </w:t>
            </w:r>
          </w:p>
          <w:p w14:paraId="559C338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6、锁具：所有开门部位均加“WT”锁。</w:t>
            </w:r>
          </w:p>
          <w:p w14:paraId="17983976">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7、道轨：优质消音滚珠道轨。</w:t>
            </w:r>
          </w:p>
        </w:tc>
        <w:tc>
          <w:tcPr>
            <w:tcW w:w="586" w:type="dxa"/>
            <w:vAlign w:val="center"/>
          </w:tcPr>
          <w:p w14:paraId="7EAC58F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16" w:type="dxa"/>
            <w:vAlign w:val="center"/>
          </w:tcPr>
          <w:p w14:paraId="415A556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r>
      <w:tr w14:paraId="2361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D5C23D7">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311" w:type="dxa"/>
            <w:vAlign w:val="center"/>
          </w:tcPr>
          <w:p w14:paraId="4E010B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应急扩声</w:t>
            </w:r>
          </w:p>
        </w:tc>
        <w:tc>
          <w:tcPr>
            <w:tcW w:w="5175" w:type="dxa"/>
            <w:vAlign w:val="center"/>
          </w:tcPr>
          <w:p w14:paraId="525A3BE8">
            <w:pPr>
              <w:rPr>
                <w:rFonts w:hint="eastAsia" w:ascii="仿宋" w:hAnsi="仿宋" w:eastAsia="仿宋" w:cs="仿宋"/>
                <w:sz w:val="24"/>
                <w:szCs w:val="24"/>
              </w:rPr>
            </w:pPr>
            <w:r>
              <w:rPr>
                <w:rFonts w:hint="eastAsia" w:ascii="仿宋" w:hAnsi="仿宋" w:eastAsia="仿宋" w:cs="仿宋"/>
                <w:sz w:val="24"/>
                <w:szCs w:val="24"/>
              </w:rPr>
              <w:t>音箱技术参数：</w:t>
            </w:r>
          </w:p>
          <w:p w14:paraId="763E436A">
            <w:pPr>
              <w:numPr>
                <w:ilvl w:val="0"/>
                <w:numId w:val="5"/>
              </w:numPr>
              <w:rPr>
                <w:rFonts w:hint="eastAsia" w:ascii="仿宋" w:hAnsi="仿宋" w:eastAsia="仿宋" w:cs="仿宋"/>
                <w:sz w:val="24"/>
                <w:szCs w:val="24"/>
              </w:rPr>
            </w:pPr>
            <w:r>
              <w:rPr>
                <w:rFonts w:hint="eastAsia" w:ascii="仿宋" w:hAnsi="仿宋" w:eastAsia="仿宋" w:cs="仿宋"/>
                <w:sz w:val="24"/>
                <w:szCs w:val="24"/>
              </w:rPr>
              <w:t>音频输入：支持1路Φ3.5mm模拟音频输入；支持蓝牙音频输入；支持无线麦克风音频输入。音频输出：支持2路Φ3.5mm模拟音频输出；</w:t>
            </w:r>
          </w:p>
          <w:p w14:paraId="4F384969">
            <w:pPr>
              <w:numPr>
                <w:ilvl w:val="0"/>
                <w:numId w:val="5"/>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支持音量旋钮进行音量调节；</w:t>
            </w:r>
          </w:p>
          <w:p w14:paraId="4059C664">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▲3、声压级：1m处最大声压级不低于98dB@1KHz&amp;1m；（ 提供具有CNAS 或CMA标识的检测报告</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sz w:val="24"/>
                <w:szCs w:val="24"/>
              </w:rPr>
              <w:t>）</w:t>
            </w:r>
          </w:p>
          <w:p w14:paraId="3F9BF08F">
            <w:pPr>
              <w:rPr>
                <w:rFonts w:hint="eastAsia" w:ascii="仿宋" w:hAnsi="仿宋" w:eastAsia="仿宋" w:cs="仿宋"/>
                <w:sz w:val="24"/>
                <w:szCs w:val="24"/>
              </w:rPr>
            </w:pPr>
            <w:r>
              <w:rPr>
                <w:rFonts w:hint="eastAsia" w:ascii="仿宋" w:hAnsi="仿宋" w:eastAsia="仿宋" w:cs="仿宋"/>
                <w:sz w:val="24"/>
                <w:szCs w:val="24"/>
              </w:rPr>
              <w:t>▲4、有效频率范围：频率范围宽泛，支持低频到高频，范围在115Hz-20KHz；（提供具有CNAS 或CMA标识的检测报告</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96F2789">
            <w:pPr>
              <w:rPr>
                <w:rFonts w:hint="eastAsia" w:ascii="仿宋" w:hAnsi="仿宋" w:eastAsia="仿宋" w:cs="仿宋"/>
                <w:sz w:val="24"/>
                <w:szCs w:val="24"/>
              </w:rPr>
            </w:pPr>
            <w:r>
              <w:rPr>
                <w:rFonts w:hint="eastAsia" w:ascii="仿宋" w:hAnsi="仿宋" w:eastAsia="仿宋" w:cs="仿宋"/>
                <w:sz w:val="24"/>
                <w:szCs w:val="24"/>
              </w:rPr>
              <w:t>▲5、前后声压级差：@1m&amp;2KHz前后声压级差不小于23dB；（提供具有CNAS 或CMA标识的检测报告</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CDAD1D">
            <w:pPr>
              <w:rPr>
                <w:rFonts w:hint="eastAsia" w:ascii="仿宋" w:hAnsi="仿宋" w:eastAsia="仿宋" w:cs="仿宋"/>
                <w:sz w:val="24"/>
                <w:szCs w:val="24"/>
              </w:rPr>
            </w:pPr>
            <w:r>
              <w:rPr>
                <w:rFonts w:hint="eastAsia" w:ascii="仿宋" w:hAnsi="仿宋" w:eastAsia="仿宋" w:cs="仿宋"/>
                <w:sz w:val="24"/>
                <w:szCs w:val="24"/>
              </w:rPr>
              <w:t>6、扬声器数量不少于6个; （提供</w:t>
            </w:r>
            <w:r>
              <w:rPr>
                <w:rFonts w:hint="eastAsia" w:ascii="仿宋" w:hAnsi="仿宋" w:eastAsia="仿宋" w:cs="仿宋"/>
                <w:sz w:val="24"/>
                <w:szCs w:val="24"/>
                <w:lang w:val="en-US" w:eastAsia="zh-CN"/>
              </w:rPr>
              <w:t>实物图片</w:t>
            </w:r>
            <w:r>
              <w:rPr>
                <w:rFonts w:hint="eastAsia" w:ascii="仿宋" w:hAnsi="仿宋" w:eastAsia="仿宋" w:cs="仿宋"/>
                <w:sz w:val="24"/>
                <w:szCs w:val="24"/>
              </w:rPr>
              <w:t>）</w:t>
            </w:r>
          </w:p>
          <w:p w14:paraId="33C61503">
            <w:pPr>
              <w:rPr>
                <w:rFonts w:hint="eastAsia" w:ascii="仿宋" w:hAnsi="仿宋" w:eastAsia="仿宋" w:cs="仿宋"/>
                <w:sz w:val="24"/>
                <w:szCs w:val="24"/>
              </w:rPr>
            </w:pPr>
            <w:r>
              <w:rPr>
                <w:rFonts w:hint="eastAsia" w:ascii="仿宋" w:hAnsi="仿宋" w:eastAsia="仿宋" w:cs="仿宋"/>
                <w:sz w:val="24"/>
                <w:szCs w:val="24"/>
              </w:rPr>
              <w:t>▲7、教室和会议室等使用场所内各学生座位测量点的稳态声压级最大值与最小值差值范围为±2dB；（提供第三方检测机构出具的产品合格检测报告</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A10D17">
            <w:pPr>
              <w:rPr>
                <w:rFonts w:hint="eastAsia" w:ascii="仿宋" w:hAnsi="仿宋" w:eastAsia="仿宋" w:cs="仿宋"/>
                <w:sz w:val="24"/>
                <w:szCs w:val="24"/>
              </w:rPr>
            </w:pPr>
            <w:r>
              <w:rPr>
                <w:rFonts w:hint="eastAsia" w:ascii="仿宋" w:hAnsi="仿宋" w:eastAsia="仿宋" w:cs="仿宋"/>
                <w:sz w:val="24"/>
                <w:szCs w:val="24"/>
              </w:rPr>
              <w:t>8、整机重量不大于5Kg；</w:t>
            </w:r>
          </w:p>
          <w:p w14:paraId="1D0E218D">
            <w:pPr>
              <w:rPr>
                <w:rFonts w:hint="eastAsia" w:ascii="仿宋" w:hAnsi="仿宋" w:eastAsia="仿宋" w:cs="仿宋"/>
                <w:sz w:val="24"/>
                <w:szCs w:val="24"/>
              </w:rPr>
            </w:pPr>
            <w:r>
              <w:rPr>
                <w:rFonts w:hint="eastAsia" w:ascii="仿宋" w:hAnsi="仿宋" w:eastAsia="仿宋" w:cs="仿宋"/>
                <w:sz w:val="24"/>
                <w:szCs w:val="24"/>
              </w:rPr>
              <w:t>9、尺寸不小于780*130*88mm；</w:t>
            </w:r>
          </w:p>
          <w:p w14:paraId="7E0BEAC3">
            <w:pPr>
              <w:rPr>
                <w:rFonts w:hint="eastAsia" w:ascii="仿宋" w:hAnsi="仿宋" w:eastAsia="仿宋" w:cs="仿宋"/>
                <w:sz w:val="24"/>
                <w:szCs w:val="24"/>
              </w:rPr>
            </w:pPr>
            <w:r>
              <w:rPr>
                <w:rFonts w:hint="eastAsia" w:ascii="仿宋" w:hAnsi="仿宋" w:eastAsia="仿宋" w:cs="仿宋"/>
                <w:sz w:val="24"/>
                <w:szCs w:val="24"/>
              </w:rPr>
              <w:t>10、电源电压：AC220V；</w:t>
            </w:r>
          </w:p>
          <w:p w14:paraId="2237D114">
            <w:pPr>
              <w:rPr>
                <w:rFonts w:hint="eastAsia" w:ascii="仿宋" w:hAnsi="仿宋" w:eastAsia="仿宋" w:cs="仿宋"/>
                <w:sz w:val="24"/>
                <w:szCs w:val="24"/>
              </w:rPr>
            </w:pPr>
            <w:r>
              <w:rPr>
                <w:rFonts w:hint="eastAsia" w:ascii="仿宋" w:hAnsi="仿宋" w:eastAsia="仿宋" w:cs="仿宋"/>
                <w:sz w:val="24"/>
                <w:szCs w:val="24"/>
              </w:rPr>
              <w:t>11、整机最大功率不大于60W；</w:t>
            </w:r>
          </w:p>
          <w:p w14:paraId="554A7339">
            <w:pPr>
              <w:rPr>
                <w:rFonts w:hint="eastAsia" w:ascii="仿宋" w:hAnsi="仿宋" w:eastAsia="仿宋" w:cs="仿宋"/>
                <w:sz w:val="24"/>
                <w:szCs w:val="24"/>
              </w:rPr>
            </w:pPr>
            <w:r>
              <w:rPr>
                <w:rFonts w:hint="eastAsia" w:ascii="仿宋" w:hAnsi="仿宋" w:eastAsia="仿宋" w:cs="仿宋"/>
                <w:sz w:val="24"/>
                <w:szCs w:val="24"/>
              </w:rPr>
              <w:t>12、音箱具有SRRC认证（符合无线电核准要求）；（投标时提供证书复印件并加盖投标供应商公章，成交后核验加盖厂商公章的佐证材料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sz w:val="24"/>
                <w:szCs w:val="24"/>
              </w:rPr>
              <w:t>）</w:t>
            </w:r>
          </w:p>
          <w:p w14:paraId="6A56B8A5">
            <w:pPr>
              <w:rPr>
                <w:rFonts w:hint="eastAsia" w:ascii="仿宋" w:hAnsi="仿宋" w:eastAsia="仿宋" w:cs="仿宋"/>
                <w:sz w:val="24"/>
                <w:szCs w:val="24"/>
              </w:rPr>
            </w:pPr>
            <w:r>
              <w:rPr>
                <w:rFonts w:hint="eastAsia" w:ascii="仿宋" w:hAnsi="仿宋" w:eastAsia="仿宋" w:cs="仿宋"/>
                <w:sz w:val="24"/>
                <w:szCs w:val="24"/>
              </w:rPr>
              <w:t>▲（一）配套APP技术参数：（提供第三方检测机构出具的产品合格检测报告</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p>
          <w:p w14:paraId="7B0EAD61">
            <w:pPr>
              <w:rPr>
                <w:rFonts w:hint="eastAsia" w:ascii="仿宋" w:hAnsi="仿宋" w:eastAsia="仿宋" w:cs="仿宋"/>
                <w:sz w:val="24"/>
                <w:szCs w:val="24"/>
              </w:rPr>
            </w:pPr>
            <w:r>
              <w:rPr>
                <w:rFonts w:hint="eastAsia" w:ascii="仿宋" w:hAnsi="仿宋" w:eastAsia="仿宋" w:cs="仿宋"/>
                <w:sz w:val="24"/>
                <w:szCs w:val="24"/>
              </w:rPr>
              <w:t>1、支持角度设置，上下角度-30°至30°可调；通过调节发声角度适用于不同环境的声场均衡；</w:t>
            </w:r>
          </w:p>
          <w:p w14:paraId="4CB16C26">
            <w:pPr>
              <w:rPr>
                <w:rFonts w:hint="eastAsia" w:ascii="仿宋" w:hAnsi="仿宋" w:eastAsia="仿宋" w:cs="仿宋"/>
                <w:sz w:val="24"/>
                <w:szCs w:val="24"/>
              </w:rPr>
            </w:pPr>
            <w:r>
              <w:rPr>
                <w:rFonts w:hint="eastAsia" w:ascii="仿宋" w:hAnsi="仿宋" w:eastAsia="仿宋" w:cs="仿宋"/>
                <w:sz w:val="24"/>
                <w:szCs w:val="24"/>
              </w:rPr>
              <w:t>2、支持清晰度设置，支持语音正常、清晰、超清晰调节；</w:t>
            </w:r>
          </w:p>
          <w:p w14:paraId="4AF9E491">
            <w:pPr>
              <w:rPr>
                <w:rFonts w:hint="eastAsia" w:ascii="仿宋" w:hAnsi="仿宋" w:eastAsia="仿宋" w:cs="仿宋"/>
                <w:sz w:val="24"/>
                <w:szCs w:val="24"/>
              </w:rPr>
            </w:pPr>
            <w:r>
              <w:rPr>
                <w:rFonts w:hint="eastAsia" w:ascii="仿宋" w:hAnsi="仿宋" w:eastAsia="仿宋" w:cs="仿宋"/>
                <w:sz w:val="24"/>
                <w:szCs w:val="24"/>
              </w:rPr>
              <w:t>3、支持啸叫抑制设置，可对啸叫进行高、中、低三档抑制调节；</w:t>
            </w:r>
          </w:p>
          <w:p w14:paraId="5A1B859E">
            <w:pPr>
              <w:rPr>
                <w:rFonts w:hint="eastAsia" w:ascii="仿宋" w:hAnsi="仿宋" w:eastAsia="仿宋" w:cs="仿宋"/>
                <w:sz w:val="24"/>
                <w:szCs w:val="24"/>
              </w:rPr>
            </w:pPr>
            <w:r>
              <w:rPr>
                <w:rFonts w:hint="eastAsia" w:ascii="仿宋" w:hAnsi="仿宋" w:eastAsia="仿宋" w:cs="仿宋"/>
                <w:sz w:val="24"/>
                <w:szCs w:val="24"/>
              </w:rPr>
              <w:t>4、支持设备固件升级，通过APP可一键升级固件；</w:t>
            </w:r>
          </w:p>
          <w:p w14:paraId="4FA7ED2A">
            <w:pPr>
              <w:rPr>
                <w:rFonts w:hint="eastAsia" w:ascii="仿宋" w:hAnsi="仿宋" w:eastAsia="仿宋" w:cs="仿宋"/>
                <w:sz w:val="24"/>
                <w:szCs w:val="24"/>
              </w:rPr>
            </w:pPr>
            <w:r>
              <w:rPr>
                <w:rFonts w:hint="eastAsia" w:ascii="仿宋" w:hAnsi="仿宋" w:eastAsia="仿宋" w:cs="仿宋"/>
                <w:sz w:val="24"/>
                <w:szCs w:val="24"/>
              </w:rPr>
              <w:t>5、支持音效算法升级，可在线一键升级音效算法版本；</w:t>
            </w:r>
          </w:p>
          <w:p w14:paraId="2B8C1378">
            <w:pPr>
              <w:rPr>
                <w:rFonts w:hint="eastAsia" w:ascii="仿宋" w:hAnsi="仿宋" w:eastAsia="仿宋" w:cs="仿宋"/>
                <w:sz w:val="24"/>
                <w:szCs w:val="24"/>
              </w:rPr>
            </w:pPr>
            <w:r>
              <w:rPr>
                <w:rFonts w:hint="eastAsia" w:ascii="仿宋" w:hAnsi="仿宋" w:eastAsia="仿宋" w:cs="仿宋"/>
                <w:sz w:val="24"/>
                <w:szCs w:val="24"/>
              </w:rPr>
              <w:t>6、支持在线修改名称；</w:t>
            </w:r>
          </w:p>
          <w:p w14:paraId="25170D54">
            <w:pPr>
              <w:rPr>
                <w:rFonts w:hint="eastAsia" w:ascii="仿宋" w:hAnsi="仿宋" w:eastAsia="仿宋" w:cs="仿宋"/>
                <w:sz w:val="24"/>
                <w:szCs w:val="24"/>
              </w:rPr>
            </w:pPr>
            <w:r>
              <w:rPr>
                <w:rFonts w:hint="eastAsia" w:ascii="仿宋" w:hAnsi="仿宋" w:eastAsia="仿宋" w:cs="仿宋"/>
                <w:sz w:val="24"/>
                <w:szCs w:val="24"/>
              </w:rPr>
              <w:t>7、支持扬声器检测，可单独检测每个扬声器声音是否正常；</w:t>
            </w:r>
          </w:p>
          <w:p w14:paraId="28EAA9C6">
            <w:pPr>
              <w:rPr>
                <w:rFonts w:hint="eastAsia" w:ascii="仿宋" w:hAnsi="仿宋" w:eastAsia="仿宋" w:cs="仿宋"/>
                <w:sz w:val="24"/>
                <w:szCs w:val="24"/>
              </w:rPr>
            </w:pPr>
            <w:r>
              <w:rPr>
                <w:rFonts w:hint="eastAsia" w:ascii="仿宋" w:hAnsi="仿宋" w:eastAsia="仿宋" w:cs="仿宋"/>
                <w:sz w:val="24"/>
                <w:szCs w:val="24"/>
              </w:rPr>
              <w:t>8、支持建立声场图，输入不同点位声压级，可在线创建现场环境声场图；</w:t>
            </w:r>
          </w:p>
          <w:p w14:paraId="39BD0C19">
            <w:pPr>
              <w:rPr>
                <w:rFonts w:hint="eastAsia" w:ascii="仿宋" w:hAnsi="仿宋" w:eastAsia="仿宋" w:cs="仿宋"/>
                <w:sz w:val="24"/>
                <w:szCs w:val="24"/>
              </w:rPr>
            </w:pPr>
            <w:r>
              <w:rPr>
                <w:rFonts w:hint="eastAsia" w:ascii="仿宋" w:hAnsi="仿宋" w:eastAsia="仿宋" w:cs="仿宋"/>
                <w:sz w:val="24"/>
                <w:szCs w:val="24"/>
              </w:rPr>
              <w:t>▲（二）无线麦克风技术参数：（提供第三方检测机构出具的产品合格检测报告</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0928F88">
            <w:pPr>
              <w:rPr>
                <w:rFonts w:hint="eastAsia" w:ascii="仿宋" w:hAnsi="仿宋" w:eastAsia="仿宋" w:cs="仿宋"/>
                <w:sz w:val="24"/>
                <w:szCs w:val="24"/>
              </w:rPr>
            </w:pPr>
            <w:r>
              <w:rPr>
                <w:rFonts w:hint="eastAsia" w:ascii="仿宋" w:hAnsi="仿宋" w:eastAsia="仿宋" w:cs="仿宋"/>
                <w:sz w:val="24"/>
                <w:szCs w:val="24"/>
              </w:rPr>
              <w:t>1、无线麦克风对频距离低于2m可自动与音箱对频，对频速度快，不超过2秒；</w:t>
            </w:r>
          </w:p>
          <w:p w14:paraId="1A6F10F7">
            <w:pPr>
              <w:rPr>
                <w:rFonts w:hint="eastAsia" w:ascii="仿宋" w:hAnsi="仿宋" w:eastAsia="仿宋" w:cs="仿宋"/>
                <w:sz w:val="24"/>
                <w:szCs w:val="24"/>
              </w:rPr>
            </w:pPr>
            <w:r>
              <w:rPr>
                <w:rFonts w:hint="eastAsia" w:ascii="仿宋" w:hAnsi="仿宋" w:eastAsia="仿宋" w:cs="仿宋"/>
                <w:sz w:val="24"/>
                <w:szCs w:val="24"/>
              </w:rPr>
              <w:t>2、能手动调节无线麦克风音量，从而控制音箱音量；</w:t>
            </w:r>
          </w:p>
          <w:p w14:paraId="1190CF40">
            <w:pPr>
              <w:rPr>
                <w:rFonts w:hint="eastAsia" w:ascii="仿宋" w:hAnsi="仿宋" w:eastAsia="仿宋" w:cs="仿宋"/>
                <w:sz w:val="24"/>
                <w:szCs w:val="24"/>
              </w:rPr>
            </w:pPr>
            <w:r>
              <w:rPr>
                <w:rFonts w:hint="eastAsia" w:ascii="仿宋" w:hAnsi="仿宋" w:eastAsia="仿宋" w:cs="仿宋"/>
                <w:sz w:val="24"/>
                <w:szCs w:val="24"/>
              </w:rPr>
              <w:t>3、支持USB直插充电，无线麦克风充满电后，连续工作时间不小于6H；</w:t>
            </w:r>
          </w:p>
          <w:p w14:paraId="51209571">
            <w:pPr>
              <w:rPr>
                <w:rFonts w:hint="eastAsia" w:ascii="仿宋" w:hAnsi="仿宋" w:eastAsia="仿宋" w:cs="仿宋"/>
                <w:sz w:val="24"/>
                <w:szCs w:val="24"/>
              </w:rPr>
            </w:pPr>
            <w:r>
              <w:rPr>
                <w:rFonts w:hint="eastAsia" w:ascii="仿宋" w:hAnsi="仿宋" w:eastAsia="仿宋" w:cs="仿宋"/>
                <w:sz w:val="24"/>
                <w:szCs w:val="24"/>
              </w:rPr>
              <w:t>4、无线最大传输距离不低于10m；</w:t>
            </w:r>
          </w:p>
          <w:p w14:paraId="739680AB">
            <w:pPr>
              <w:rPr>
                <w:rFonts w:hint="eastAsia" w:ascii="仿宋" w:hAnsi="仿宋" w:eastAsia="仿宋" w:cs="仿宋"/>
                <w:sz w:val="24"/>
                <w:szCs w:val="24"/>
              </w:rPr>
            </w:pPr>
            <w:r>
              <w:rPr>
                <w:rFonts w:hint="eastAsia" w:ascii="仿宋" w:hAnsi="仿宋" w:eastAsia="仿宋" w:cs="仿宋"/>
                <w:sz w:val="24"/>
                <w:szCs w:val="24"/>
              </w:rPr>
              <w:t>5、无线麦克风支持一键静音功能；</w:t>
            </w:r>
          </w:p>
          <w:p w14:paraId="2104D5D0">
            <w:pPr>
              <w:rPr>
                <w:rFonts w:hint="eastAsia" w:ascii="仿宋" w:hAnsi="仿宋" w:eastAsia="仿宋" w:cs="仿宋"/>
                <w:sz w:val="24"/>
                <w:szCs w:val="24"/>
              </w:rPr>
            </w:pPr>
            <w:r>
              <w:rPr>
                <w:rFonts w:hint="eastAsia" w:ascii="仿宋" w:hAnsi="仿宋" w:eastAsia="仿宋" w:cs="仿宋"/>
                <w:sz w:val="24"/>
                <w:szCs w:val="24"/>
              </w:rPr>
              <w:t>6、带有屏幕可显示无线麦克风调节音量；</w:t>
            </w:r>
          </w:p>
          <w:p w14:paraId="5BCEC832">
            <w:pPr>
              <w:rPr>
                <w:rFonts w:hint="eastAsia" w:ascii="仿宋" w:hAnsi="仿宋" w:eastAsia="仿宋" w:cs="仿宋"/>
                <w:sz w:val="24"/>
                <w:szCs w:val="24"/>
              </w:rPr>
            </w:pPr>
            <w:r>
              <w:rPr>
                <w:rFonts w:hint="eastAsia" w:ascii="仿宋" w:hAnsi="仿宋" w:eastAsia="仿宋" w:cs="仿宋"/>
                <w:sz w:val="24"/>
                <w:szCs w:val="24"/>
              </w:rPr>
              <w:t>7、传输方式：2.4G调频；</w:t>
            </w:r>
          </w:p>
          <w:p w14:paraId="26B749F1">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8、麦克风具有SRRC认证</w:t>
            </w:r>
          </w:p>
        </w:tc>
        <w:tc>
          <w:tcPr>
            <w:tcW w:w="586" w:type="dxa"/>
            <w:vAlign w:val="center"/>
          </w:tcPr>
          <w:p w14:paraId="573CC4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50CFA3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F07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4B009C0">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311" w:type="dxa"/>
            <w:vAlign w:val="center"/>
          </w:tcPr>
          <w:p w14:paraId="1712A6C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排烟净化系统</w:t>
            </w:r>
          </w:p>
        </w:tc>
        <w:tc>
          <w:tcPr>
            <w:tcW w:w="5175" w:type="dxa"/>
            <w:vAlign w:val="center"/>
          </w:tcPr>
          <w:p w14:paraId="6D7829D8">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i w:val="0"/>
                <w:iCs w:val="0"/>
                <w:color w:val="000000"/>
                <w:kern w:val="0"/>
                <w:sz w:val="24"/>
                <w:szCs w:val="24"/>
                <w:highlight w:val="none"/>
                <w:u w:val="none"/>
                <w:lang w:val="en-US" w:eastAsia="zh-CN" w:bidi="ar"/>
              </w:rPr>
              <w:t>根据现场尺寸及实验台布局定制，满足8个工位使用。不绣钢集烟罩，风量&gt;22m</w:t>
            </w:r>
            <w:r>
              <w:rPr>
                <w:rFonts w:hint="eastAsia" w:ascii="仿宋" w:hAnsi="仿宋" w:eastAsia="仿宋" w:cs="仿宋"/>
                <w:i w:val="0"/>
                <w:iCs w:val="0"/>
                <w:color w:val="000000"/>
                <w:kern w:val="0"/>
                <w:sz w:val="24"/>
                <w:szCs w:val="24"/>
                <w:highlight w:val="none"/>
                <w:u w:val="none"/>
                <w:vertAlign w:val="superscript"/>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/min，油脂分利率&gt;90%，噪音&lt;70dB,配套排风管路。</w:t>
            </w:r>
          </w:p>
          <w:p w14:paraId="161A70D2">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i w:val="0"/>
                <w:iCs w:val="0"/>
                <w:color w:val="000000"/>
                <w:kern w:val="0"/>
                <w:sz w:val="24"/>
                <w:szCs w:val="24"/>
                <w:highlight w:val="none"/>
                <w:u w:val="none"/>
                <w:lang w:val="en-US" w:eastAsia="zh-CN" w:bidi="ar"/>
              </w:rPr>
              <w:t>品牌限选：老板、方太、西门子</w:t>
            </w:r>
          </w:p>
        </w:tc>
        <w:tc>
          <w:tcPr>
            <w:tcW w:w="586" w:type="dxa"/>
            <w:vAlign w:val="center"/>
          </w:tcPr>
          <w:p w14:paraId="00565EB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57C8F74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r>
      <w:tr w14:paraId="7C7B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0C7F72C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13</w:t>
            </w:r>
          </w:p>
        </w:tc>
        <w:tc>
          <w:tcPr>
            <w:tcW w:w="1311" w:type="dxa"/>
            <w:vAlign w:val="center"/>
          </w:tcPr>
          <w:p w14:paraId="59F51D0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环氧地屏</w:t>
            </w:r>
          </w:p>
        </w:tc>
        <w:tc>
          <w:tcPr>
            <w:tcW w:w="5175" w:type="dxa"/>
            <w:vAlign w:val="center"/>
          </w:tcPr>
          <w:p w14:paraId="7205523C">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要求做到外观色泽均匀、无漏刷、无裂纹、不起皱、无底漆泛出、平滑光亮；与基层结合协调牢固，无脱层、起壳，固化完全，重做环氧地坪</w:t>
            </w:r>
          </w:p>
        </w:tc>
        <w:tc>
          <w:tcPr>
            <w:tcW w:w="586" w:type="dxa"/>
            <w:vAlign w:val="center"/>
          </w:tcPr>
          <w:p w14:paraId="08A29CC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816" w:type="dxa"/>
            <w:vAlign w:val="center"/>
          </w:tcPr>
          <w:p w14:paraId="18A33AE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r>
      <w:tr w14:paraId="0E39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5" w:type="dxa"/>
            <w:vAlign w:val="center"/>
          </w:tcPr>
          <w:p w14:paraId="35DA4F9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311" w:type="dxa"/>
            <w:vAlign w:val="center"/>
          </w:tcPr>
          <w:p w14:paraId="3754E23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吊顶</w:t>
            </w:r>
          </w:p>
        </w:tc>
        <w:tc>
          <w:tcPr>
            <w:tcW w:w="5175" w:type="dxa"/>
            <w:vAlign w:val="center"/>
          </w:tcPr>
          <w:p w14:paraId="1A62F335">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600*600集成吊顶</w:t>
            </w:r>
          </w:p>
        </w:tc>
        <w:tc>
          <w:tcPr>
            <w:tcW w:w="586" w:type="dxa"/>
            <w:vAlign w:val="center"/>
          </w:tcPr>
          <w:p w14:paraId="16DBD3E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816" w:type="dxa"/>
            <w:vAlign w:val="center"/>
          </w:tcPr>
          <w:p w14:paraId="5142E15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r>
      <w:tr w14:paraId="0180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5" w:type="dxa"/>
            <w:vAlign w:val="center"/>
          </w:tcPr>
          <w:p w14:paraId="6AD7F65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311" w:type="dxa"/>
            <w:vAlign w:val="center"/>
          </w:tcPr>
          <w:p w14:paraId="151F363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墙面磁砖</w:t>
            </w:r>
          </w:p>
        </w:tc>
        <w:tc>
          <w:tcPr>
            <w:tcW w:w="5175" w:type="dxa"/>
            <w:vAlign w:val="center"/>
          </w:tcPr>
          <w:p w14:paraId="06F01878">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沿墙面1.5米高，共计60平，人工加材料</w:t>
            </w:r>
          </w:p>
        </w:tc>
        <w:tc>
          <w:tcPr>
            <w:tcW w:w="586" w:type="dxa"/>
            <w:vAlign w:val="center"/>
          </w:tcPr>
          <w:p w14:paraId="3B16D91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平</w:t>
            </w:r>
          </w:p>
        </w:tc>
        <w:tc>
          <w:tcPr>
            <w:tcW w:w="816" w:type="dxa"/>
            <w:vAlign w:val="center"/>
          </w:tcPr>
          <w:p w14:paraId="7261B6F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r>
      <w:tr w14:paraId="3AB2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4443B501">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1311" w:type="dxa"/>
            <w:vAlign w:val="center"/>
          </w:tcPr>
          <w:p w14:paraId="1742135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墙面乳胶漆</w:t>
            </w:r>
          </w:p>
        </w:tc>
        <w:tc>
          <w:tcPr>
            <w:tcW w:w="5175" w:type="dxa"/>
            <w:vAlign w:val="center"/>
          </w:tcPr>
          <w:p w14:paraId="11511E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1、处理:要求干净、平整；</w:t>
            </w:r>
          </w:p>
          <w:p w14:paraId="0FB58E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2、封胶:封闭801胶一遍；</w:t>
            </w:r>
          </w:p>
          <w:p w14:paraId="3DB89E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3、找平:要求无空鼓,其凹凸差不超过0.5公分；</w:t>
            </w:r>
          </w:p>
          <w:p w14:paraId="12E5F8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4、刮腻子:要求至少刮3遍腻子；</w:t>
            </w:r>
          </w:p>
          <w:p w14:paraId="4E51F43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5、打磨:打磨墙面，打磨后需彻底清扫墙面；</w:t>
            </w:r>
          </w:p>
          <w:p w14:paraId="789C4DD8">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6、涂刷底漆：要求刷底漆均匀，无不平。</w:t>
            </w:r>
          </w:p>
        </w:tc>
        <w:tc>
          <w:tcPr>
            <w:tcW w:w="586" w:type="dxa"/>
            <w:vAlign w:val="center"/>
          </w:tcPr>
          <w:p w14:paraId="44E6407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816" w:type="dxa"/>
            <w:vAlign w:val="center"/>
          </w:tcPr>
          <w:p w14:paraId="40914D4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80</w:t>
            </w:r>
          </w:p>
        </w:tc>
      </w:tr>
      <w:tr w14:paraId="498A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164D061">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1311" w:type="dxa"/>
            <w:vAlign w:val="center"/>
          </w:tcPr>
          <w:p w14:paraId="6032A4F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强电铺设</w:t>
            </w:r>
          </w:p>
        </w:tc>
        <w:tc>
          <w:tcPr>
            <w:tcW w:w="5175" w:type="dxa"/>
            <w:vAlign w:val="center"/>
          </w:tcPr>
          <w:p w14:paraId="4966F6BE">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包括室内导线、主线、线管、暗合等主要材料；2.5或4或6平方单股铜线（根据电器总功率选择），严格按照室内用电需求，计算各路耗电量，严格执行强弱电施工工艺及验收标准。</w:t>
            </w:r>
          </w:p>
        </w:tc>
        <w:tc>
          <w:tcPr>
            <w:tcW w:w="586" w:type="dxa"/>
            <w:vAlign w:val="center"/>
          </w:tcPr>
          <w:p w14:paraId="2820358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816" w:type="dxa"/>
            <w:vAlign w:val="center"/>
          </w:tcPr>
          <w:p w14:paraId="118CB82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r>
      <w:tr w14:paraId="08CA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7E12997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311" w:type="dxa"/>
            <w:vAlign w:val="center"/>
          </w:tcPr>
          <w:p w14:paraId="10F1FC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安全电箱</w:t>
            </w:r>
          </w:p>
        </w:tc>
        <w:tc>
          <w:tcPr>
            <w:tcW w:w="5175" w:type="dxa"/>
            <w:vAlign w:val="center"/>
          </w:tcPr>
          <w:p w14:paraId="2947C1DF">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工作电压：AC220V-50Hz</w:t>
            </w:r>
          </w:p>
          <w:p w14:paraId="5DE7B0F4">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额定电流：80A</w:t>
            </w:r>
          </w:p>
          <w:p w14:paraId="7225C676">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功能特点:</w:t>
            </w:r>
          </w:p>
          <w:p w14:paraId="45E9F1DA">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（1）合闸前检测：在合闸前对线路进行检测，线路中过压、欠压、漏电、短路、导线温度过高等任一故障存在都不合闸，在事故发生前阻止了事故的发生。</w:t>
            </w:r>
          </w:p>
          <w:p w14:paraId="25A604D8">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（2）过压保护：当输入端零火线间的电压大于280V或设定值时，本开关跳闸保护。</w:t>
            </w:r>
          </w:p>
          <w:p w14:paraId="46286CC9">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（3）欠压保护：当输入端零火线间的电压小于160V或设定值时，本开关跳闸保护。</w:t>
            </w:r>
          </w:p>
          <w:p w14:paraId="77B6B00C">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（4）过流保护：当供电电流大于或等于额定电流1.15倍，出现持续3秒钟以上的过电流时，本开关跳闸保护。</w:t>
            </w:r>
          </w:p>
          <w:p w14:paraId="6B3C1845">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（5）短路保护:当供电电流大于或等于3倍额定电流，本开关在0.1秒内保护动作，跳闸切断供电。</w:t>
            </w:r>
          </w:p>
          <w:p w14:paraId="11E0E360">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（6）漏电保护：线路发生超过设定的漏电或人身触电时，自动重合闸漏电保护器在0.1秒内断开。</w:t>
            </w:r>
          </w:p>
          <w:p w14:paraId="2C90E27F">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（7）零线断开保护：外部零线松动或被剪断后，相电压不平衡到一定值，保护器分闸动作保护。</w:t>
            </w:r>
          </w:p>
          <w:p w14:paraId="390FB2C0">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（8）断电时自动断开：线路断电时自动断开，重新来电后检测到供电正常则自动重合闸通电。</w:t>
            </w:r>
          </w:p>
          <w:p w14:paraId="3F7A2EAB">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（9）自动重合闸：上述故障发生跳闸后，一定时间间隔（30S-60S）后，检测故障排除后自动重合闸通电。</w:t>
            </w:r>
          </w:p>
          <w:p w14:paraId="30AFC0D5">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（10）自动保存跳闸信息：自动保存跳闸时的各种信息，包括跳闸时间、跳闸类型（原因）、电压、电流、漏电电流等信息，为故障分析提供依据。</w:t>
            </w:r>
          </w:p>
          <w:p w14:paraId="61064400">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（11）声光故障报警：上述保护断开的同时，不同的指示灯亮，指示灯相应的故障类型，同时声音报警声响。</w:t>
            </w:r>
          </w:p>
          <w:p w14:paraId="471B3AEB">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（12）保护参数可调：电流1-80A线性可调，漏电流10-90MA线性可调。</w:t>
            </w:r>
          </w:p>
          <w:p w14:paraId="51E33E66">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4、</w:t>
            </w:r>
            <w:r>
              <w:rPr>
                <w:rFonts w:hint="eastAsia" w:ascii="仿宋" w:hAnsi="仿宋" w:eastAsia="仿宋" w:cs="仿宋"/>
                <w:color w:val="000000"/>
                <w:kern w:val="0"/>
                <w:sz w:val="24"/>
                <w:szCs w:val="24"/>
                <w:highlight w:val="none"/>
                <w:lang w:bidi="ar"/>
              </w:rPr>
              <w:t>温控检测功能:可对线路实时温度检测，达到温度预设值时设备通过数据系统发出报警提示，当温度超出最高预设值时设备会自动关机从而达到用电场景的安全保护功能，提供证明材料</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r>
              <w:rPr>
                <w:rFonts w:hint="eastAsia" w:ascii="仿宋" w:hAnsi="仿宋" w:eastAsia="仿宋" w:cs="仿宋"/>
                <w:color w:val="000000"/>
                <w:kern w:val="0"/>
                <w:sz w:val="24"/>
                <w:szCs w:val="24"/>
                <w:highlight w:val="none"/>
                <w:lang w:bidi="ar"/>
              </w:rPr>
              <w:t>。</w:t>
            </w:r>
          </w:p>
          <w:p w14:paraId="317CE104">
            <w:pPr>
              <w:widowControl/>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5、</w:t>
            </w:r>
            <w:r>
              <w:rPr>
                <w:rFonts w:hint="eastAsia" w:ascii="仿宋" w:hAnsi="仿宋" w:eastAsia="仿宋" w:cs="仿宋"/>
                <w:color w:val="000000"/>
                <w:kern w:val="0"/>
                <w:sz w:val="24"/>
                <w:szCs w:val="24"/>
                <w:highlight w:val="none"/>
                <w:lang w:bidi="ar"/>
              </w:rPr>
              <w:t>4G通讯功能:内置4G通讯模块，实现远程与监控平台，平板电脑、手机等无线连接，不受距离限制，可远程监控操控，故障告警，提供证明材料并加盖原厂公章。</w:t>
            </w:r>
          </w:p>
        </w:tc>
        <w:tc>
          <w:tcPr>
            <w:tcW w:w="586" w:type="dxa"/>
            <w:vAlign w:val="center"/>
          </w:tcPr>
          <w:p w14:paraId="3C076F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816" w:type="dxa"/>
            <w:vAlign w:val="center"/>
          </w:tcPr>
          <w:p w14:paraId="104C45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r>
      <w:tr w14:paraId="5AD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79294EBD">
            <w:pPr>
              <w:keepNext w:val="0"/>
              <w:keepLines w:val="0"/>
              <w:widowControl/>
              <w:suppressLineNumbers w:val="0"/>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19</w:t>
            </w:r>
          </w:p>
        </w:tc>
        <w:tc>
          <w:tcPr>
            <w:tcW w:w="1311" w:type="dxa"/>
            <w:vAlign w:val="center"/>
          </w:tcPr>
          <w:p w14:paraId="1E2BF3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安全监控</w:t>
            </w:r>
          </w:p>
        </w:tc>
        <w:tc>
          <w:tcPr>
            <w:tcW w:w="5175" w:type="dxa"/>
            <w:vAlign w:val="center"/>
          </w:tcPr>
          <w:p w14:paraId="38AA8DD4">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400万 筒型网络摄像机 </w:t>
            </w:r>
          </w:p>
          <w:p w14:paraId="1B63C9A2">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传感器类型：1/2.7" Progressive Scan CMOS</w:t>
            </w:r>
          </w:p>
          <w:p w14:paraId="19660AD5">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最低照度：彩色：0.005 Lux @（F1.2，AGC ON），0 Lux with IR</w:t>
            </w:r>
          </w:p>
          <w:p w14:paraId="72AFCCCD">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最大图像尺寸：2560 × 1440</w:t>
            </w:r>
          </w:p>
          <w:p w14:paraId="6FF6BC6E">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宽动态：数字宽动态 </w:t>
            </w:r>
          </w:p>
          <w:p w14:paraId="7538CB5F">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焦距&amp;视场角：4 mm，水平视场角：70°，垂直视场角：35°，对角视场角：85°</w:t>
            </w:r>
          </w:p>
          <w:p w14:paraId="2F290C3B">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6 mm，水平视场角：46°，垂直视场角：24°，对角视场角：54°</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8 mm，水平视场角：43°，垂直视场角：24°，对角视场角：50°</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 xml:space="preserve">12 mm，水平视场角：27°，垂直视场角：15°，对角视场角：31°  </w:t>
            </w:r>
          </w:p>
          <w:p w14:paraId="3501DD16">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红外波长范围：850 nm</w:t>
            </w:r>
          </w:p>
          <w:p w14:paraId="6FB9680D">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防补光过曝：支持</w:t>
            </w:r>
          </w:p>
          <w:p w14:paraId="128011F7">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补光灯类型：红外灯</w:t>
            </w:r>
          </w:p>
          <w:p w14:paraId="110C18CA">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补光距离：最远可达50 m </w:t>
            </w:r>
          </w:p>
          <w:p w14:paraId="080A4AB4">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视频压缩标准：主码流：H.265/H.264</w:t>
            </w:r>
          </w:p>
          <w:p w14:paraId="3454A01E">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子码流：H.265/H.264/MJPEG </w:t>
            </w:r>
          </w:p>
          <w:p w14:paraId="01A7D23A">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音频：1个内置麦克风</w:t>
            </w:r>
          </w:p>
          <w:p w14:paraId="543B5D22">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网络：1个RJ45 10 M/100 M自适应以太网口 </w:t>
            </w:r>
          </w:p>
          <w:p w14:paraId="0902AEF6">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启动及工作温湿度：-30 ℃~60 ℃，湿度小于95%（无凝结）</w:t>
            </w:r>
          </w:p>
          <w:p w14:paraId="3477FAB4">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存储温湿度：-30 ℃~60 ℃，湿度小于95%（无凝结）</w:t>
            </w:r>
          </w:p>
          <w:p w14:paraId="051A70C1">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恢复出厂设置：支持客户端或浏览器恢复</w:t>
            </w:r>
          </w:p>
          <w:p w14:paraId="001DBCE5">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供电方式：DC：12 V ± 25%，支持防反接保护</w:t>
            </w:r>
          </w:p>
          <w:p w14:paraId="3EEF787C">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PoE：IEEE 802.3af，Class 3</w:t>
            </w:r>
          </w:p>
          <w:p w14:paraId="4D89EA4D">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电流及功耗：DC：12 V，0.42 A，最大功耗：5 W</w:t>
            </w:r>
          </w:p>
          <w:p w14:paraId="599241D3">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PoE：IEEE 802.3af，CLASS 3，最大功耗：6.5 W</w:t>
            </w:r>
          </w:p>
          <w:p w14:paraId="1DF3DC4A">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防护：IP66</w:t>
            </w:r>
          </w:p>
          <w:p w14:paraId="5B5C805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bidi="ar"/>
              </w:rPr>
              <w:t>▲为保证监控系统的一致性，摄像头需支持接入学校原有监控系统，提供原有监控系统厂家的接入授权承诺函</w:t>
            </w:r>
            <w:r>
              <w:rPr>
                <w:rFonts w:hint="eastAsia" w:ascii="仿宋" w:hAnsi="仿宋" w:eastAsia="仿宋" w:cs="仿宋"/>
                <w:sz w:val="24"/>
                <w:szCs w:val="24"/>
                <w:lang w:eastAsia="zh-CN"/>
              </w:rPr>
              <w:t>，</w:t>
            </w:r>
            <w:r>
              <w:rPr>
                <w:rFonts w:hint="eastAsia" w:ascii="仿宋" w:hAnsi="仿宋" w:eastAsia="仿宋" w:cs="仿宋"/>
                <w:sz w:val="24"/>
                <w:szCs w:val="24"/>
              </w:rPr>
              <w:t>投标时提供证书复印件并加盖投标供应商公章，成交后核验加盖厂商公章的佐证材料</w:t>
            </w:r>
            <w:r>
              <w:rPr>
                <w:rFonts w:hint="eastAsia" w:ascii="仿宋" w:hAnsi="仿宋" w:eastAsia="仿宋" w:cs="仿宋"/>
                <w:sz w:val="24"/>
                <w:szCs w:val="24"/>
                <w:lang w:eastAsia="zh-CN"/>
              </w:rPr>
              <w:t>。</w:t>
            </w:r>
          </w:p>
        </w:tc>
        <w:tc>
          <w:tcPr>
            <w:tcW w:w="586" w:type="dxa"/>
            <w:vAlign w:val="center"/>
          </w:tcPr>
          <w:p w14:paraId="20EDB6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816" w:type="dxa"/>
            <w:vAlign w:val="center"/>
          </w:tcPr>
          <w:p w14:paraId="793A1A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r>
      <w:tr w14:paraId="3B14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83182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1311" w:type="dxa"/>
            <w:vAlign w:val="center"/>
          </w:tcPr>
          <w:p w14:paraId="048CE6F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温感探测器</w:t>
            </w:r>
          </w:p>
        </w:tc>
        <w:tc>
          <w:tcPr>
            <w:tcW w:w="5175" w:type="dxa"/>
            <w:vAlign w:val="center"/>
          </w:tcPr>
          <w:p w14:paraId="3090660A">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可视温感探测器1个、温感探测器1个（为与学校配套，建议：北大青鸟）</w:t>
            </w:r>
          </w:p>
        </w:tc>
        <w:tc>
          <w:tcPr>
            <w:tcW w:w="586" w:type="dxa"/>
            <w:vAlign w:val="center"/>
          </w:tcPr>
          <w:p w14:paraId="3A106EB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816" w:type="dxa"/>
            <w:vAlign w:val="center"/>
          </w:tcPr>
          <w:p w14:paraId="63512E9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r w14:paraId="1FC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062127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w:t>
            </w:r>
          </w:p>
        </w:tc>
        <w:tc>
          <w:tcPr>
            <w:tcW w:w="1311" w:type="dxa"/>
            <w:vAlign w:val="center"/>
          </w:tcPr>
          <w:p w14:paraId="6F3D418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火灾显示器</w:t>
            </w:r>
          </w:p>
        </w:tc>
        <w:tc>
          <w:tcPr>
            <w:tcW w:w="5175" w:type="dxa"/>
            <w:vAlign w:val="center"/>
          </w:tcPr>
          <w:p w14:paraId="334E7799">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火灾显示器（为与学校配套，建议：北大青鸟）</w:t>
            </w:r>
          </w:p>
        </w:tc>
        <w:tc>
          <w:tcPr>
            <w:tcW w:w="586" w:type="dxa"/>
            <w:vAlign w:val="center"/>
          </w:tcPr>
          <w:p w14:paraId="20C76B2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816" w:type="dxa"/>
            <w:vAlign w:val="center"/>
          </w:tcPr>
          <w:p w14:paraId="67E1992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14:paraId="723A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719033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1311" w:type="dxa"/>
            <w:vAlign w:val="center"/>
          </w:tcPr>
          <w:p w14:paraId="537D994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教室照明</w:t>
            </w:r>
          </w:p>
        </w:tc>
        <w:tc>
          <w:tcPr>
            <w:tcW w:w="5175" w:type="dxa"/>
            <w:vAlign w:val="center"/>
          </w:tcPr>
          <w:p w14:paraId="20B29F38">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包括照明灯、射灯等配套灯具；根据实际使用需求可进行选择。严格按照室内用电需求，计算各路耗电量，严格执行强弱电施工工艺及验收标准。</w:t>
            </w:r>
          </w:p>
        </w:tc>
        <w:tc>
          <w:tcPr>
            <w:tcW w:w="586" w:type="dxa"/>
            <w:vAlign w:val="center"/>
          </w:tcPr>
          <w:p w14:paraId="3CFC0BD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816" w:type="dxa"/>
            <w:vAlign w:val="center"/>
          </w:tcPr>
          <w:p w14:paraId="7F4D664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r>
      <w:tr w14:paraId="6DE1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76B836A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1311" w:type="dxa"/>
            <w:vAlign w:val="center"/>
          </w:tcPr>
          <w:p w14:paraId="2E9A50E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黑板灯</w:t>
            </w:r>
          </w:p>
        </w:tc>
        <w:tc>
          <w:tcPr>
            <w:tcW w:w="5175" w:type="dxa"/>
            <w:vAlign w:val="center"/>
          </w:tcPr>
          <w:p w14:paraId="06901D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1、</w:t>
            </w:r>
            <w:r>
              <w:rPr>
                <w:rFonts w:hint="eastAsia" w:ascii="仿宋" w:hAnsi="仿宋" w:eastAsia="仿宋" w:cs="仿宋"/>
                <w:i w:val="0"/>
                <w:iCs w:val="0"/>
                <w:color w:val="000000"/>
                <w:kern w:val="0"/>
                <w:sz w:val="24"/>
                <w:szCs w:val="24"/>
                <w:u w:val="none"/>
                <w:lang w:val="en-US" w:eastAsia="zh-CN" w:bidi="ar"/>
              </w:rPr>
              <w:t>LED黑板灯至少依据《GB 7000.1》、《GB 7000.201》、《GB 17625.1》标准符合灯具安全要求。</w:t>
            </w:r>
          </w:p>
          <w:p w14:paraId="5418DE0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LED黑板灯采用外置控制装置，为了符合《GB/T31831-2015》4.4技术要求，控制装置分外盒、内盒，通过塑料环形卡扣方式连接，同时卡扣直径9～11mm，易于断电后徒手更换，维护快速便捷。提供加盖公章的技术规格书及实物照片复印件。</w:t>
            </w:r>
            <w:r>
              <w:rPr>
                <w:rFonts w:hint="eastAsia" w:ascii="仿宋" w:hAnsi="仿宋" w:eastAsia="仿宋" w:cs="仿宋"/>
                <w:sz w:val="24"/>
                <w:szCs w:val="24"/>
              </w:rPr>
              <w:t>成交后核验加盖厂商公章的佐证材料</w:t>
            </w:r>
            <w:r>
              <w:rPr>
                <w:rFonts w:hint="eastAsia" w:ascii="仿宋" w:hAnsi="仿宋" w:eastAsia="仿宋" w:cs="仿宋"/>
                <w:sz w:val="24"/>
                <w:szCs w:val="24"/>
                <w:lang w:eastAsia="zh-CN"/>
              </w:rPr>
              <w:t>。</w:t>
            </w:r>
          </w:p>
          <w:p w14:paraId="300705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3、LED黑板灯灯体（出光面）长≥1000mm；采用一体式防眩光LED灯具，控光部件应为塑料透光罩和格栅，同时整体出光口面长度占灯具总长比例＞95%。</w:t>
            </w:r>
          </w:p>
          <w:p w14:paraId="7E07FD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4、LED黑板灯额定功率≤36W，灯具的输入功率与额定功率偏差不应超过 10%；灯具效能不应低于 80lm/W；测得灯具蓝光危害为：无危险类(或RG0），同时辐亮度LB≤20W/(㎡•sr)。</w:t>
            </w:r>
          </w:p>
          <w:p w14:paraId="23E001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▲5、LED黑板灯应在燃点 15 min 后检测，15min 内照度值波动应小于 5%，黑板面维持平均照度≥500LX，黑板面照度均匀度≥0.8。灯具在教室现场照明光环境的相关色温3300 K～5300 K，显色指数Ra≥90，R9≥50，蓝光危害等级为RG0，光生物等级为无危险类；提供一份第三方检测机构出具的封面带有CMA或CNAS标志的检测报告复印件及全国认证认可信息公共服务平台查询结果截图。</w:t>
            </w:r>
          </w:p>
          <w:p w14:paraId="3A519324">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为了使得LED黑板灯控制装置散热能力及最佳内部工作空间达到最佳，分外盒、内盒；外盒长度≤155MM，宽度≤75MM，最高面高度≤40MM；内盒长度≥90MM，宽度≥50MM，最高面高度≥25MM。内盒与外盒通过内盒触片与外盒弹片接触方式实现电流传导。要求输入输出内盒触片不少于4个且单个触片接触面不得小于9mm×5mm。阻燃符合V-0等级。提供第三方检测机构出具的封面带有CMA、CNAS标志的检测报告复印件（委托单位、制造商、生产厂三者一致）及全国认证认可信息公共服务平台查询结果截图，除阻燃等级外，其他技术要求同时提供实物照片证明。</w:t>
            </w:r>
          </w:p>
        </w:tc>
        <w:tc>
          <w:tcPr>
            <w:tcW w:w="586" w:type="dxa"/>
            <w:vAlign w:val="center"/>
          </w:tcPr>
          <w:p w14:paraId="31760FB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盏</w:t>
            </w:r>
          </w:p>
        </w:tc>
        <w:tc>
          <w:tcPr>
            <w:tcW w:w="816" w:type="dxa"/>
            <w:vAlign w:val="center"/>
          </w:tcPr>
          <w:p w14:paraId="6A6BDBD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r>
      <w:tr w14:paraId="6321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B051BD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311" w:type="dxa"/>
            <w:vAlign w:val="center"/>
          </w:tcPr>
          <w:p w14:paraId="28AB775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水路铺设</w:t>
            </w:r>
          </w:p>
        </w:tc>
        <w:tc>
          <w:tcPr>
            <w:tcW w:w="5175" w:type="dxa"/>
            <w:vAlign w:val="center"/>
          </w:tcPr>
          <w:p w14:paraId="31BF160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主要工序：画线→开槽→下料→预埋→预装→检查→安装→调适→修补→完工→备案。</w:t>
            </w:r>
          </w:p>
          <w:p w14:paraId="12A5DC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(1)水系统安装前检查水管、配件是否有破损、砂眼等。管与配件的连接，必须正确且加固。给、排水系统布局要合理，尽量避免交叉，严禁斜走。</w:t>
            </w:r>
          </w:p>
          <w:p w14:paraId="483370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(2)水路的走线以及开槽，要确保管道能够暗埋在墙内和地面内，管道不应有裸漏的部分在外面。</w:t>
            </w:r>
          </w:p>
          <w:p w14:paraId="236C4608">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(3)安装PPR管时，热熔接头的温度必须达到250～400摄氏度，接熔后接口必须无缝隙、平滑、接口方正。安装PVC下水管时要注意放坡，保证下水畅通，无渗漏、倒流现象。各种管道之间的距离必须大于等于50mm。</w:t>
            </w:r>
          </w:p>
        </w:tc>
        <w:tc>
          <w:tcPr>
            <w:tcW w:w="586" w:type="dxa"/>
            <w:vAlign w:val="center"/>
          </w:tcPr>
          <w:p w14:paraId="5342029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816" w:type="dxa"/>
            <w:vAlign w:val="center"/>
          </w:tcPr>
          <w:p w14:paraId="0EA0181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r>
      <w:tr w14:paraId="26E1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35" w:type="dxa"/>
            <w:vAlign w:val="center"/>
          </w:tcPr>
          <w:p w14:paraId="6537084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311" w:type="dxa"/>
            <w:vAlign w:val="center"/>
          </w:tcPr>
          <w:p w14:paraId="2F681FC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拆旧</w:t>
            </w:r>
          </w:p>
        </w:tc>
        <w:tc>
          <w:tcPr>
            <w:tcW w:w="5175" w:type="dxa"/>
            <w:vAlign w:val="center"/>
          </w:tcPr>
          <w:p w14:paraId="1BB9F100">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根据现场需要，对房间构造进行重新进规划，涉及拆除，清理、垃圾清运等</w:t>
            </w:r>
          </w:p>
        </w:tc>
        <w:tc>
          <w:tcPr>
            <w:tcW w:w="586" w:type="dxa"/>
            <w:vAlign w:val="center"/>
          </w:tcPr>
          <w:p w14:paraId="6EABE2F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项</w:t>
            </w:r>
          </w:p>
        </w:tc>
        <w:tc>
          <w:tcPr>
            <w:tcW w:w="816" w:type="dxa"/>
            <w:vAlign w:val="center"/>
          </w:tcPr>
          <w:p w14:paraId="1A7CB92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r>
      <w:tr w14:paraId="6CEC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5" w:type="dxa"/>
            <w:vAlign w:val="center"/>
          </w:tcPr>
          <w:p w14:paraId="4D0677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11" w:type="dxa"/>
            <w:vAlign w:val="center"/>
          </w:tcPr>
          <w:p w14:paraId="59A503B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出入口改造</w:t>
            </w:r>
          </w:p>
        </w:tc>
        <w:tc>
          <w:tcPr>
            <w:tcW w:w="5175" w:type="dxa"/>
            <w:vAlign w:val="center"/>
          </w:tcPr>
          <w:p w14:paraId="13DC04F0">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按消防要求，对出入口重新设计，涉及开墙、补墙、粉刷等</w:t>
            </w:r>
          </w:p>
        </w:tc>
        <w:tc>
          <w:tcPr>
            <w:tcW w:w="586" w:type="dxa"/>
            <w:vAlign w:val="center"/>
          </w:tcPr>
          <w:p w14:paraId="64D240E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项</w:t>
            </w:r>
          </w:p>
        </w:tc>
        <w:tc>
          <w:tcPr>
            <w:tcW w:w="816" w:type="dxa"/>
            <w:vAlign w:val="center"/>
          </w:tcPr>
          <w:p w14:paraId="06207C9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r>
      <w:tr w14:paraId="0C3E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35" w:type="dxa"/>
            <w:vAlign w:val="center"/>
          </w:tcPr>
          <w:p w14:paraId="762910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11" w:type="dxa"/>
            <w:vAlign w:val="center"/>
          </w:tcPr>
          <w:p w14:paraId="24BF165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防盗门</w:t>
            </w:r>
          </w:p>
        </w:tc>
        <w:tc>
          <w:tcPr>
            <w:tcW w:w="5175" w:type="dxa"/>
            <w:vAlign w:val="center"/>
          </w:tcPr>
          <w:p w14:paraId="45A01085">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甲级</w:t>
            </w:r>
          </w:p>
        </w:tc>
        <w:tc>
          <w:tcPr>
            <w:tcW w:w="586" w:type="dxa"/>
            <w:vAlign w:val="center"/>
          </w:tcPr>
          <w:p w14:paraId="5335577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16" w:type="dxa"/>
            <w:vAlign w:val="center"/>
          </w:tcPr>
          <w:p w14:paraId="5A8B7AF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r>
      <w:tr w14:paraId="3288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D753A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11" w:type="dxa"/>
            <w:vAlign w:val="center"/>
          </w:tcPr>
          <w:p w14:paraId="6E1ED52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水电接入</w:t>
            </w:r>
          </w:p>
        </w:tc>
        <w:tc>
          <w:tcPr>
            <w:tcW w:w="5175" w:type="dxa"/>
            <w:vAlign w:val="center"/>
          </w:tcPr>
          <w:p w14:paraId="34CF3FB3">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在学校指定的食堂具体位置，将水路、电路接入教室</w:t>
            </w:r>
          </w:p>
        </w:tc>
        <w:tc>
          <w:tcPr>
            <w:tcW w:w="586" w:type="dxa"/>
            <w:vAlign w:val="center"/>
          </w:tcPr>
          <w:p w14:paraId="51AB4BB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项</w:t>
            </w:r>
          </w:p>
        </w:tc>
        <w:tc>
          <w:tcPr>
            <w:tcW w:w="816" w:type="dxa"/>
            <w:vAlign w:val="center"/>
          </w:tcPr>
          <w:p w14:paraId="1ABA5B7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r>
      <w:tr w14:paraId="3084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C3E2A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11" w:type="dxa"/>
            <w:vAlign w:val="center"/>
          </w:tcPr>
          <w:p w14:paraId="681F91D4">
            <w:pPr>
              <w:keepNext w:val="0"/>
              <w:keepLines w:val="0"/>
              <w:widowControl/>
              <w:suppressLineNumbers w:val="0"/>
              <w:jc w:val="center"/>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空调</w:t>
            </w:r>
          </w:p>
        </w:tc>
        <w:tc>
          <w:tcPr>
            <w:tcW w:w="5175" w:type="dxa"/>
            <w:vAlign w:val="center"/>
          </w:tcPr>
          <w:p w14:paraId="54780DE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5P吸顶、含安装、线路;变频</w:t>
            </w:r>
          </w:p>
          <w:p w14:paraId="1023B9BF">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i w:val="0"/>
                <w:iCs w:val="0"/>
                <w:color w:val="000000"/>
                <w:kern w:val="0"/>
                <w:sz w:val="24"/>
                <w:szCs w:val="24"/>
                <w:highlight w:val="none"/>
                <w:u w:val="none"/>
                <w:lang w:val="en-US" w:eastAsia="zh-CN" w:bidi="ar"/>
              </w:rPr>
              <w:t>品牌限选：大金、海尔、格力、美的</w:t>
            </w:r>
          </w:p>
        </w:tc>
        <w:tc>
          <w:tcPr>
            <w:tcW w:w="586" w:type="dxa"/>
            <w:vAlign w:val="center"/>
          </w:tcPr>
          <w:p w14:paraId="46354F6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816" w:type="dxa"/>
            <w:vAlign w:val="center"/>
          </w:tcPr>
          <w:p w14:paraId="7E5282A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r>
      <w:tr w14:paraId="1BF2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23" w:type="dxa"/>
            <w:gridSpan w:val="5"/>
            <w:vAlign w:val="center"/>
          </w:tcPr>
          <w:p w14:paraId="3B8372C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燃气管改扩建工程</w:t>
            </w:r>
          </w:p>
        </w:tc>
      </w:tr>
      <w:tr w14:paraId="6F5D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F6105A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311" w:type="dxa"/>
            <w:vAlign w:val="center"/>
          </w:tcPr>
          <w:p w14:paraId="3948204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氮气置换</w:t>
            </w:r>
          </w:p>
        </w:tc>
        <w:tc>
          <w:tcPr>
            <w:tcW w:w="5175" w:type="dxa"/>
            <w:vAlign w:val="center"/>
          </w:tcPr>
          <w:p w14:paraId="12E94FC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适用对象：钢管开三通、管道相接需要动火作业，规格：DN40~D50</w:t>
            </w:r>
          </w:p>
        </w:tc>
        <w:tc>
          <w:tcPr>
            <w:tcW w:w="586" w:type="dxa"/>
            <w:vAlign w:val="center"/>
          </w:tcPr>
          <w:p w14:paraId="73A90ED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816" w:type="dxa"/>
            <w:vAlign w:val="center"/>
          </w:tcPr>
          <w:p w14:paraId="0C0D90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5477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D6550C2">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1311" w:type="dxa"/>
            <w:vAlign w:val="center"/>
          </w:tcPr>
          <w:p w14:paraId="2194A0E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氮气放散点及检测点设置</w:t>
            </w:r>
          </w:p>
        </w:tc>
        <w:tc>
          <w:tcPr>
            <w:tcW w:w="5175" w:type="dxa"/>
            <w:vAlign w:val="center"/>
          </w:tcPr>
          <w:p w14:paraId="6859080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氮气放散点及检测点设置  公称直径 DN25</w:t>
            </w:r>
          </w:p>
        </w:tc>
        <w:tc>
          <w:tcPr>
            <w:tcW w:w="586" w:type="dxa"/>
            <w:vAlign w:val="center"/>
          </w:tcPr>
          <w:p w14:paraId="1FA9410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816" w:type="dxa"/>
            <w:vAlign w:val="center"/>
          </w:tcPr>
          <w:p w14:paraId="396F9E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204C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467449B">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1311" w:type="dxa"/>
            <w:vAlign w:val="center"/>
          </w:tcPr>
          <w:p w14:paraId="2F2EA9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w:t>
            </w:r>
          </w:p>
        </w:tc>
        <w:tc>
          <w:tcPr>
            <w:tcW w:w="5175" w:type="dxa"/>
            <w:vAlign w:val="center"/>
          </w:tcPr>
          <w:p w14:paraId="18906E7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w:t>
            </w:r>
          </w:p>
        </w:tc>
        <w:tc>
          <w:tcPr>
            <w:tcW w:w="586" w:type="dxa"/>
            <w:vAlign w:val="center"/>
          </w:tcPr>
          <w:p w14:paraId="1549E57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瓶</w:t>
            </w:r>
          </w:p>
        </w:tc>
        <w:tc>
          <w:tcPr>
            <w:tcW w:w="816" w:type="dxa"/>
            <w:vAlign w:val="center"/>
          </w:tcPr>
          <w:p w14:paraId="1FB362A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r>
      <w:tr w14:paraId="689B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86B8E5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1311" w:type="dxa"/>
            <w:vAlign w:val="center"/>
          </w:tcPr>
          <w:p w14:paraId="2DE278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新旧管连接</w:t>
            </w:r>
          </w:p>
        </w:tc>
        <w:tc>
          <w:tcPr>
            <w:tcW w:w="5175" w:type="dxa"/>
            <w:vAlign w:val="center"/>
          </w:tcPr>
          <w:p w14:paraId="6C14A89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新旧管道带气连接接（含开三通连接、未端连接），口径 DN50</w:t>
            </w:r>
          </w:p>
        </w:tc>
        <w:tc>
          <w:tcPr>
            <w:tcW w:w="586" w:type="dxa"/>
            <w:vAlign w:val="center"/>
          </w:tcPr>
          <w:p w14:paraId="2B0B74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816" w:type="dxa"/>
            <w:vAlign w:val="center"/>
          </w:tcPr>
          <w:p w14:paraId="1AB25D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342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03BDDBCE">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w:t>
            </w:r>
          </w:p>
        </w:tc>
        <w:tc>
          <w:tcPr>
            <w:tcW w:w="1311" w:type="dxa"/>
            <w:vAlign w:val="center"/>
          </w:tcPr>
          <w:p w14:paraId="49BA843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放散点设置</w:t>
            </w:r>
          </w:p>
        </w:tc>
        <w:tc>
          <w:tcPr>
            <w:tcW w:w="5175" w:type="dxa"/>
            <w:vAlign w:val="center"/>
          </w:tcPr>
          <w:p w14:paraId="28CB98B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放散点设置  公称直径 DN25</w:t>
            </w:r>
          </w:p>
        </w:tc>
        <w:tc>
          <w:tcPr>
            <w:tcW w:w="586" w:type="dxa"/>
            <w:vAlign w:val="center"/>
          </w:tcPr>
          <w:p w14:paraId="36BDC0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816" w:type="dxa"/>
            <w:vAlign w:val="center"/>
          </w:tcPr>
          <w:p w14:paraId="2CB426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05CC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CD947F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1311" w:type="dxa"/>
            <w:vAlign w:val="center"/>
          </w:tcPr>
          <w:p w14:paraId="0A903F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打洞（混凝土墙）</w:t>
            </w:r>
          </w:p>
        </w:tc>
        <w:tc>
          <w:tcPr>
            <w:tcW w:w="5175" w:type="dxa"/>
            <w:vAlign w:val="center"/>
          </w:tcPr>
          <w:p w14:paraId="4783A4E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包含打洞补洞，口径：DN80~DN100</w:t>
            </w:r>
          </w:p>
        </w:tc>
        <w:tc>
          <w:tcPr>
            <w:tcW w:w="586" w:type="dxa"/>
            <w:vAlign w:val="center"/>
          </w:tcPr>
          <w:p w14:paraId="512EE9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D987D3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5582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3249605">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w:t>
            </w:r>
          </w:p>
        </w:tc>
        <w:tc>
          <w:tcPr>
            <w:tcW w:w="1311" w:type="dxa"/>
            <w:vAlign w:val="center"/>
          </w:tcPr>
          <w:p w14:paraId="31D71D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过墙过楼板钢套管制作安装</w:t>
            </w:r>
          </w:p>
        </w:tc>
        <w:tc>
          <w:tcPr>
            <w:tcW w:w="5175" w:type="dxa"/>
            <w:vAlign w:val="center"/>
          </w:tcPr>
          <w:p w14:paraId="1ABEAD2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材质:钢管(20#)，型号、规格:DN65</w:t>
            </w:r>
          </w:p>
        </w:tc>
        <w:tc>
          <w:tcPr>
            <w:tcW w:w="586" w:type="dxa"/>
            <w:vAlign w:val="center"/>
          </w:tcPr>
          <w:p w14:paraId="6D2E58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73A705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050F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4216492">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1311" w:type="dxa"/>
            <w:vAlign w:val="center"/>
          </w:tcPr>
          <w:p w14:paraId="2B74C59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热伸缩套</w:t>
            </w:r>
          </w:p>
        </w:tc>
        <w:tc>
          <w:tcPr>
            <w:tcW w:w="5175" w:type="dxa"/>
            <w:vAlign w:val="center"/>
          </w:tcPr>
          <w:p w14:paraId="6C6995C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DN40</w:t>
            </w:r>
          </w:p>
        </w:tc>
        <w:tc>
          <w:tcPr>
            <w:tcW w:w="586" w:type="dxa"/>
            <w:vAlign w:val="center"/>
          </w:tcPr>
          <w:p w14:paraId="67D3A2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4B0B82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2CA4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3DDF574">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9</w:t>
            </w:r>
          </w:p>
        </w:tc>
        <w:tc>
          <w:tcPr>
            <w:tcW w:w="1311" w:type="dxa"/>
            <w:vAlign w:val="center"/>
          </w:tcPr>
          <w:p w14:paraId="491F9A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钢管(室内  室外)</w:t>
            </w:r>
          </w:p>
        </w:tc>
        <w:tc>
          <w:tcPr>
            <w:tcW w:w="5175" w:type="dxa"/>
            <w:vAlign w:val="center"/>
          </w:tcPr>
          <w:p w14:paraId="40B8B21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材质:钢管(20#)，规格:D50mm</w:t>
            </w:r>
          </w:p>
        </w:tc>
        <w:tc>
          <w:tcPr>
            <w:tcW w:w="586" w:type="dxa"/>
            <w:vAlign w:val="center"/>
          </w:tcPr>
          <w:p w14:paraId="0C3A2C6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32DFFE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48.8 </w:t>
            </w:r>
          </w:p>
        </w:tc>
      </w:tr>
      <w:tr w14:paraId="1752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07AAE50">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10</w:t>
            </w:r>
          </w:p>
        </w:tc>
        <w:tc>
          <w:tcPr>
            <w:tcW w:w="1311" w:type="dxa"/>
            <w:vAlign w:val="center"/>
          </w:tcPr>
          <w:p w14:paraId="6FF144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钢管(室内  室外)</w:t>
            </w:r>
          </w:p>
        </w:tc>
        <w:tc>
          <w:tcPr>
            <w:tcW w:w="5175" w:type="dxa"/>
            <w:vAlign w:val="center"/>
          </w:tcPr>
          <w:p w14:paraId="19A0D4F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材质:钢管(20#)，规格:D40mm</w:t>
            </w:r>
          </w:p>
        </w:tc>
        <w:tc>
          <w:tcPr>
            <w:tcW w:w="586" w:type="dxa"/>
            <w:vAlign w:val="center"/>
          </w:tcPr>
          <w:p w14:paraId="3300BC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14D5EF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18.8</w:t>
            </w:r>
          </w:p>
        </w:tc>
      </w:tr>
      <w:tr w14:paraId="14E1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13926AB">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11</w:t>
            </w:r>
          </w:p>
        </w:tc>
        <w:tc>
          <w:tcPr>
            <w:tcW w:w="1311" w:type="dxa"/>
            <w:vAlign w:val="center"/>
          </w:tcPr>
          <w:p w14:paraId="75A8935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钢管(室内  室外)</w:t>
            </w:r>
          </w:p>
        </w:tc>
        <w:tc>
          <w:tcPr>
            <w:tcW w:w="5175" w:type="dxa"/>
            <w:vAlign w:val="center"/>
          </w:tcPr>
          <w:p w14:paraId="6A8B0C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材质:钢管(20#)，规格:D25mm</w:t>
            </w:r>
          </w:p>
        </w:tc>
        <w:tc>
          <w:tcPr>
            <w:tcW w:w="586" w:type="dxa"/>
            <w:vAlign w:val="center"/>
          </w:tcPr>
          <w:p w14:paraId="780273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76F1678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w:t>
            </w:r>
          </w:p>
        </w:tc>
      </w:tr>
      <w:tr w14:paraId="354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4387CF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12</w:t>
            </w:r>
          </w:p>
        </w:tc>
        <w:tc>
          <w:tcPr>
            <w:tcW w:w="1311" w:type="dxa"/>
            <w:vAlign w:val="center"/>
          </w:tcPr>
          <w:p w14:paraId="7B79F6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5175" w:type="dxa"/>
            <w:vAlign w:val="center"/>
          </w:tcPr>
          <w:p w14:paraId="7B5109D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输送介质:天燃气，材质:镀锌钢管，型号、规格:DN15</w:t>
            </w:r>
          </w:p>
        </w:tc>
        <w:tc>
          <w:tcPr>
            <w:tcW w:w="586" w:type="dxa"/>
            <w:vAlign w:val="center"/>
          </w:tcPr>
          <w:p w14:paraId="674758B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1CCDC5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1.6 </w:t>
            </w:r>
          </w:p>
        </w:tc>
      </w:tr>
      <w:tr w14:paraId="1ED6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3DECAC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13</w:t>
            </w:r>
          </w:p>
        </w:tc>
        <w:tc>
          <w:tcPr>
            <w:tcW w:w="1311" w:type="dxa"/>
            <w:vAlign w:val="center"/>
          </w:tcPr>
          <w:p w14:paraId="15F3B9E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5175" w:type="dxa"/>
            <w:vAlign w:val="center"/>
          </w:tcPr>
          <w:p w14:paraId="6328B3B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手工除锈 管道 轻锈</w:t>
            </w:r>
          </w:p>
        </w:tc>
        <w:tc>
          <w:tcPr>
            <w:tcW w:w="586" w:type="dxa"/>
            <w:vAlign w:val="center"/>
          </w:tcPr>
          <w:p w14:paraId="3EEA3D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816" w:type="dxa"/>
            <w:vAlign w:val="center"/>
          </w:tcPr>
          <w:p w14:paraId="77A84E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r>
      <w:tr w14:paraId="5547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2B55694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14</w:t>
            </w:r>
          </w:p>
        </w:tc>
        <w:tc>
          <w:tcPr>
            <w:tcW w:w="1311" w:type="dxa"/>
            <w:vAlign w:val="center"/>
          </w:tcPr>
          <w:p w14:paraId="018CF8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5175" w:type="dxa"/>
            <w:vAlign w:val="center"/>
          </w:tcPr>
          <w:p w14:paraId="2ACA3F1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管道刷环氧富锌底漆一遍</w:t>
            </w:r>
          </w:p>
        </w:tc>
        <w:tc>
          <w:tcPr>
            <w:tcW w:w="586" w:type="dxa"/>
            <w:vAlign w:val="center"/>
          </w:tcPr>
          <w:p w14:paraId="37F534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816" w:type="dxa"/>
            <w:vAlign w:val="center"/>
          </w:tcPr>
          <w:p w14:paraId="6E7212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r>
      <w:tr w14:paraId="2E7F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47B7A71">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15</w:t>
            </w:r>
          </w:p>
        </w:tc>
        <w:tc>
          <w:tcPr>
            <w:tcW w:w="1311" w:type="dxa"/>
            <w:vAlign w:val="center"/>
          </w:tcPr>
          <w:p w14:paraId="7DA1452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5175" w:type="dxa"/>
            <w:vAlign w:val="center"/>
          </w:tcPr>
          <w:p w14:paraId="4840363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管道刷环氧云铁中间漆一遍</w:t>
            </w:r>
          </w:p>
        </w:tc>
        <w:tc>
          <w:tcPr>
            <w:tcW w:w="586" w:type="dxa"/>
            <w:vAlign w:val="center"/>
          </w:tcPr>
          <w:p w14:paraId="28BE85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816" w:type="dxa"/>
            <w:vAlign w:val="center"/>
          </w:tcPr>
          <w:p w14:paraId="1B54F2D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r>
      <w:tr w14:paraId="4591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03F005B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16</w:t>
            </w:r>
          </w:p>
        </w:tc>
        <w:tc>
          <w:tcPr>
            <w:tcW w:w="1311" w:type="dxa"/>
            <w:vAlign w:val="center"/>
          </w:tcPr>
          <w:p w14:paraId="174680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5175" w:type="dxa"/>
            <w:vAlign w:val="center"/>
          </w:tcPr>
          <w:p w14:paraId="7711C51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管道刷中黄环氧面漆 第一遍</w:t>
            </w:r>
          </w:p>
        </w:tc>
        <w:tc>
          <w:tcPr>
            <w:tcW w:w="586" w:type="dxa"/>
            <w:vAlign w:val="center"/>
          </w:tcPr>
          <w:p w14:paraId="69F681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816" w:type="dxa"/>
            <w:vAlign w:val="center"/>
          </w:tcPr>
          <w:p w14:paraId="0DD9D4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r>
      <w:tr w14:paraId="3A88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06F668C8">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17</w:t>
            </w:r>
          </w:p>
        </w:tc>
        <w:tc>
          <w:tcPr>
            <w:tcW w:w="1311" w:type="dxa"/>
            <w:vAlign w:val="center"/>
          </w:tcPr>
          <w:p w14:paraId="2139B6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5175" w:type="dxa"/>
            <w:vAlign w:val="center"/>
          </w:tcPr>
          <w:p w14:paraId="3D33427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管道刷中黄环氧面漆 第二遍</w:t>
            </w:r>
          </w:p>
        </w:tc>
        <w:tc>
          <w:tcPr>
            <w:tcW w:w="586" w:type="dxa"/>
            <w:vAlign w:val="center"/>
          </w:tcPr>
          <w:p w14:paraId="2EF74B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816" w:type="dxa"/>
            <w:vAlign w:val="center"/>
          </w:tcPr>
          <w:p w14:paraId="43294A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12.60</w:t>
            </w:r>
          </w:p>
        </w:tc>
      </w:tr>
      <w:tr w14:paraId="7A7C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294B082A">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18</w:t>
            </w:r>
          </w:p>
        </w:tc>
        <w:tc>
          <w:tcPr>
            <w:tcW w:w="1311" w:type="dxa"/>
            <w:vAlign w:val="center"/>
          </w:tcPr>
          <w:p w14:paraId="486932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管道压力试验</w:t>
            </w:r>
          </w:p>
        </w:tc>
        <w:tc>
          <w:tcPr>
            <w:tcW w:w="5175" w:type="dxa"/>
            <w:vAlign w:val="center"/>
          </w:tcPr>
          <w:p w14:paraId="0117069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管道压力试验</w:t>
            </w:r>
          </w:p>
        </w:tc>
        <w:tc>
          <w:tcPr>
            <w:tcW w:w="586" w:type="dxa"/>
            <w:vAlign w:val="center"/>
          </w:tcPr>
          <w:p w14:paraId="167B6C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254A9B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81.2</w:t>
            </w:r>
          </w:p>
        </w:tc>
      </w:tr>
      <w:tr w14:paraId="3405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B0B81B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19</w:t>
            </w:r>
          </w:p>
        </w:tc>
        <w:tc>
          <w:tcPr>
            <w:tcW w:w="1311" w:type="dxa"/>
            <w:vAlign w:val="center"/>
          </w:tcPr>
          <w:p w14:paraId="6DA83F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w:t>
            </w:r>
          </w:p>
        </w:tc>
        <w:tc>
          <w:tcPr>
            <w:tcW w:w="5175" w:type="dxa"/>
            <w:vAlign w:val="center"/>
          </w:tcPr>
          <w:p w14:paraId="36C1BC2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名称：对焊钢制法兰，规格：DN50 PN16 WN RF ，材质：20#</w:t>
            </w:r>
          </w:p>
        </w:tc>
        <w:tc>
          <w:tcPr>
            <w:tcW w:w="586" w:type="dxa"/>
            <w:vAlign w:val="center"/>
          </w:tcPr>
          <w:p w14:paraId="1E47D9A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6F798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r>
      <w:tr w14:paraId="2BED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A37B6C2">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20</w:t>
            </w:r>
          </w:p>
        </w:tc>
        <w:tc>
          <w:tcPr>
            <w:tcW w:w="1311" w:type="dxa"/>
            <w:vAlign w:val="center"/>
          </w:tcPr>
          <w:p w14:paraId="15EE9A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w:t>
            </w:r>
          </w:p>
        </w:tc>
        <w:tc>
          <w:tcPr>
            <w:tcW w:w="5175" w:type="dxa"/>
            <w:vAlign w:val="center"/>
          </w:tcPr>
          <w:p w14:paraId="1A32255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名称：对焊钢制法兰，规格：DN40 PN16 WN RF ，材质：20#</w:t>
            </w:r>
          </w:p>
        </w:tc>
        <w:tc>
          <w:tcPr>
            <w:tcW w:w="586" w:type="dxa"/>
            <w:vAlign w:val="center"/>
          </w:tcPr>
          <w:p w14:paraId="7D17CCF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54127DF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4</w:t>
            </w:r>
          </w:p>
        </w:tc>
      </w:tr>
      <w:tr w14:paraId="5902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667E7FE">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21</w:t>
            </w:r>
          </w:p>
        </w:tc>
        <w:tc>
          <w:tcPr>
            <w:tcW w:w="1311" w:type="dxa"/>
            <w:vAlign w:val="center"/>
          </w:tcPr>
          <w:p w14:paraId="3D65EC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法兰盖</w:t>
            </w:r>
          </w:p>
        </w:tc>
        <w:tc>
          <w:tcPr>
            <w:tcW w:w="5175" w:type="dxa"/>
            <w:vAlign w:val="center"/>
          </w:tcPr>
          <w:p w14:paraId="24F496E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名称：钢制法兰盖，规格：DN50 PN16 WN RF ，材质：20#</w:t>
            </w:r>
          </w:p>
        </w:tc>
        <w:tc>
          <w:tcPr>
            <w:tcW w:w="586" w:type="dxa"/>
            <w:vAlign w:val="center"/>
          </w:tcPr>
          <w:p w14:paraId="32D60AC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035DC8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05CC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41DA3603">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22</w:t>
            </w:r>
          </w:p>
        </w:tc>
        <w:tc>
          <w:tcPr>
            <w:tcW w:w="1311" w:type="dxa"/>
            <w:vAlign w:val="center"/>
          </w:tcPr>
          <w:p w14:paraId="270F54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钢制管件</w:t>
            </w:r>
          </w:p>
        </w:tc>
        <w:tc>
          <w:tcPr>
            <w:tcW w:w="5175" w:type="dxa"/>
            <w:vAlign w:val="center"/>
          </w:tcPr>
          <w:p w14:paraId="0EC737E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管件类型：弯头9、三通2，口径：DN50，材质：20#</w:t>
            </w:r>
          </w:p>
        </w:tc>
        <w:tc>
          <w:tcPr>
            <w:tcW w:w="586" w:type="dxa"/>
            <w:vAlign w:val="center"/>
          </w:tcPr>
          <w:p w14:paraId="55749D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0068EC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11 </w:t>
            </w:r>
          </w:p>
        </w:tc>
      </w:tr>
      <w:tr w14:paraId="6434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557DE1B">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23</w:t>
            </w:r>
          </w:p>
        </w:tc>
        <w:tc>
          <w:tcPr>
            <w:tcW w:w="1311" w:type="dxa"/>
            <w:vAlign w:val="center"/>
          </w:tcPr>
          <w:p w14:paraId="71AF31A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钢制管件</w:t>
            </w:r>
          </w:p>
        </w:tc>
        <w:tc>
          <w:tcPr>
            <w:tcW w:w="5175" w:type="dxa"/>
            <w:vAlign w:val="center"/>
          </w:tcPr>
          <w:p w14:paraId="7E3E29F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管件类型：弯头8、异径1、三通3，口径：DN40，材质：20#</w:t>
            </w:r>
          </w:p>
        </w:tc>
        <w:tc>
          <w:tcPr>
            <w:tcW w:w="586" w:type="dxa"/>
            <w:vAlign w:val="center"/>
          </w:tcPr>
          <w:p w14:paraId="662242D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7B7F3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 </w:t>
            </w:r>
          </w:p>
        </w:tc>
      </w:tr>
      <w:tr w14:paraId="0759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423D6A1">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24</w:t>
            </w:r>
          </w:p>
        </w:tc>
        <w:tc>
          <w:tcPr>
            <w:tcW w:w="1311" w:type="dxa"/>
            <w:vAlign w:val="center"/>
          </w:tcPr>
          <w:p w14:paraId="7DC36B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钢制管件</w:t>
            </w:r>
          </w:p>
        </w:tc>
        <w:tc>
          <w:tcPr>
            <w:tcW w:w="5175" w:type="dxa"/>
            <w:vAlign w:val="center"/>
          </w:tcPr>
          <w:p w14:paraId="38A5927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管件类型：弯头1、异径8、三通4，口径：DN25，材质：20#</w:t>
            </w:r>
          </w:p>
        </w:tc>
        <w:tc>
          <w:tcPr>
            <w:tcW w:w="586" w:type="dxa"/>
            <w:vAlign w:val="center"/>
          </w:tcPr>
          <w:p w14:paraId="6A3E19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2FD520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13</w:t>
            </w:r>
          </w:p>
        </w:tc>
      </w:tr>
      <w:tr w14:paraId="10BE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27FE06C3">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25</w:t>
            </w:r>
          </w:p>
        </w:tc>
        <w:tc>
          <w:tcPr>
            <w:tcW w:w="1311" w:type="dxa"/>
            <w:vAlign w:val="center"/>
          </w:tcPr>
          <w:p w14:paraId="6A7EFC2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X射线透视</w:t>
            </w:r>
          </w:p>
        </w:tc>
        <w:tc>
          <w:tcPr>
            <w:tcW w:w="5175" w:type="dxa"/>
            <w:vAlign w:val="center"/>
          </w:tcPr>
          <w:p w14:paraId="7C0508F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Style w:val="127"/>
                <w:rFonts w:hint="eastAsia" w:ascii="仿宋" w:hAnsi="仿宋" w:eastAsia="仿宋" w:cs="仿宋"/>
                <w:sz w:val="24"/>
                <w:szCs w:val="24"/>
                <w:highlight w:val="none"/>
                <w:lang w:val="en-US" w:eastAsia="zh-CN" w:bidi="ar"/>
              </w:rPr>
              <w:t>X射线透视  板厚10mm以内</w:t>
            </w:r>
          </w:p>
        </w:tc>
        <w:tc>
          <w:tcPr>
            <w:tcW w:w="586" w:type="dxa"/>
            <w:vAlign w:val="center"/>
          </w:tcPr>
          <w:p w14:paraId="053FCE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w:t>
            </w:r>
          </w:p>
        </w:tc>
        <w:tc>
          <w:tcPr>
            <w:tcW w:w="816" w:type="dxa"/>
            <w:vAlign w:val="center"/>
          </w:tcPr>
          <w:p w14:paraId="2BF4F9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30 </w:t>
            </w:r>
          </w:p>
        </w:tc>
      </w:tr>
      <w:tr w14:paraId="3ACB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7BC3571">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26</w:t>
            </w:r>
          </w:p>
        </w:tc>
        <w:tc>
          <w:tcPr>
            <w:tcW w:w="1311" w:type="dxa"/>
            <w:vAlign w:val="center"/>
          </w:tcPr>
          <w:p w14:paraId="26EAE4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补偿器(金属软管)</w:t>
            </w:r>
          </w:p>
        </w:tc>
        <w:tc>
          <w:tcPr>
            <w:tcW w:w="5175" w:type="dxa"/>
            <w:vAlign w:val="center"/>
          </w:tcPr>
          <w:p w14:paraId="133477F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金属软管（含法兰和丝扣接口），规格：DN20及以下</w:t>
            </w:r>
          </w:p>
        </w:tc>
        <w:tc>
          <w:tcPr>
            <w:tcW w:w="586" w:type="dxa"/>
            <w:vAlign w:val="center"/>
          </w:tcPr>
          <w:p w14:paraId="13C25E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8ADDC9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r>
      <w:tr w14:paraId="6E91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9B4905E">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27</w:t>
            </w:r>
          </w:p>
        </w:tc>
        <w:tc>
          <w:tcPr>
            <w:tcW w:w="1311" w:type="dxa"/>
            <w:vAlign w:val="center"/>
          </w:tcPr>
          <w:p w14:paraId="136D68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单头螺纹短接</w:t>
            </w:r>
          </w:p>
        </w:tc>
        <w:tc>
          <w:tcPr>
            <w:tcW w:w="5175" w:type="dxa"/>
            <w:vAlign w:val="center"/>
          </w:tcPr>
          <w:p w14:paraId="416B899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一侧氩电联焊安装，另一侧丝扣连接，规格：DN50</w:t>
            </w:r>
          </w:p>
        </w:tc>
        <w:tc>
          <w:tcPr>
            <w:tcW w:w="586" w:type="dxa"/>
            <w:vAlign w:val="center"/>
          </w:tcPr>
          <w:p w14:paraId="222626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58F790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r>
      <w:tr w14:paraId="5BE1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44E5ED18">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28</w:t>
            </w:r>
          </w:p>
        </w:tc>
        <w:tc>
          <w:tcPr>
            <w:tcW w:w="1311" w:type="dxa"/>
            <w:vAlign w:val="center"/>
          </w:tcPr>
          <w:p w14:paraId="09870E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管道支吊架（制作）</w:t>
            </w:r>
          </w:p>
        </w:tc>
        <w:tc>
          <w:tcPr>
            <w:tcW w:w="5175" w:type="dxa"/>
            <w:vAlign w:val="center"/>
          </w:tcPr>
          <w:p w14:paraId="19C99E6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材质:按现场要求，管架形式:现场制作，适用范围：架空管、室内外立管、过河管、防爬刺、矮立管等支架，防撞护栏</w:t>
            </w:r>
          </w:p>
        </w:tc>
        <w:tc>
          <w:tcPr>
            <w:tcW w:w="586" w:type="dxa"/>
            <w:vAlign w:val="center"/>
          </w:tcPr>
          <w:p w14:paraId="73A573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kg</w:t>
            </w:r>
          </w:p>
        </w:tc>
        <w:tc>
          <w:tcPr>
            <w:tcW w:w="816" w:type="dxa"/>
            <w:vAlign w:val="center"/>
          </w:tcPr>
          <w:p w14:paraId="1AB5A9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88.22 </w:t>
            </w:r>
          </w:p>
        </w:tc>
      </w:tr>
      <w:tr w14:paraId="05B8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3A3C27C">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29</w:t>
            </w:r>
          </w:p>
        </w:tc>
        <w:tc>
          <w:tcPr>
            <w:tcW w:w="1311" w:type="dxa"/>
            <w:vAlign w:val="center"/>
          </w:tcPr>
          <w:p w14:paraId="7BA913A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管道支吊架（安装）</w:t>
            </w:r>
          </w:p>
        </w:tc>
        <w:tc>
          <w:tcPr>
            <w:tcW w:w="5175" w:type="dxa"/>
            <w:vAlign w:val="center"/>
          </w:tcPr>
          <w:p w14:paraId="50BEF4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材质:按现场要求，适用范围：架空管、室内外立管、过河管、防爬刺、矮立管等支架，防撞护栏及成品支架</w:t>
            </w:r>
          </w:p>
        </w:tc>
        <w:tc>
          <w:tcPr>
            <w:tcW w:w="586" w:type="dxa"/>
            <w:vAlign w:val="center"/>
          </w:tcPr>
          <w:p w14:paraId="6E058B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kg</w:t>
            </w:r>
          </w:p>
        </w:tc>
        <w:tc>
          <w:tcPr>
            <w:tcW w:w="816" w:type="dxa"/>
            <w:vAlign w:val="center"/>
          </w:tcPr>
          <w:p w14:paraId="726A2B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88.22 </w:t>
            </w:r>
          </w:p>
        </w:tc>
      </w:tr>
      <w:tr w14:paraId="7F4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91DD70E">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30</w:t>
            </w:r>
          </w:p>
        </w:tc>
        <w:tc>
          <w:tcPr>
            <w:tcW w:w="1311" w:type="dxa"/>
            <w:vAlign w:val="center"/>
          </w:tcPr>
          <w:p w14:paraId="657764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金属结构刷油</w:t>
            </w:r>
          </w:p>
        </w:tc>
        <w:tc>
          <w:tcPr>
            <w:tcW w:w="5175" w:type="dxa"/>
            <w:vAlign w:val="center"/>
          </w:tcPr>
          <w:p w14:paraId="67E540C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除锈级别:除锈，油漆品种:环氧富锌底漆、环氧云铁漆、黑色脂肪族聚氨酯面漆，涂刷遍数:一底一中一面，漆膜厚度：底漆50μm，中漆100μm，面漆40μm</w:t>
            </w:r>
          </w:p>
        </w:tc>
        <w:tc>
          <w:tcPr>
            <w:tcW w:w="586" w:type="dxa"/>
            <w:vAlign w:val="center"/>
          </w:tcPr>
          <w:p w14:paraId="0FD137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kg</w:t>
            </w:r>
          </w:p>
        </w:tc>
        <w:tc>
          <w:tcPr>
            <w:tcW w:w="816" w:type="dxa"/>
            <w:vAlign w:val="center"/>
          </w:tcPr>
          <w:p w14:paraId="61D037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88.22 </w:t>
            </w:r>
          </w:p>
        </w:tc>
      </w:tr>
      <w:tr w14:paraId="0E79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EEA51FD">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31</w:t>
            </w:r>
          </w:p>
        </w:tc>
        <w:tc>
          <w:tcPr>
            <w:tcW w:w="1311" w:type="dxa"/>
            <w:vAlign w:val="center"/>
          </w:tcPr>
          <w:p w14:paraId="0FEA2EB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U型抱箍</w:t>
            </w:r>
          </w:p>
        </w:tc>
        <w:tc>
          <w:tcPr>
            <w:tcW w:w="5175" w:type="dxa"/>
            <w:vAlign w:val="center"/>
          </w:tcPr>
          <w:p w14:paraId="62D9721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规格：D15~D200         </w:t>
            </w:r>
          </w:p>
        </w:tc>
        <w:tc>
          <w:tcPr>
            <w:tcW w:w="586" w:type="dxa"/>
            <w:vAlign w:val="center"/>
          </w:tcPr>
          <w:p w14:paraId="44E9DA7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406174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27 </w:t>
            </w:r>
          </w:p>
        </w:tc>
      </w:tr>
      <w:tr w14:paraId="7834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BCF0B03">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32</w:t>
            </w:r>
          </w:p>
        </w:tc>
        <w:tc>
          <w:tcPr>
            <w:tcW w:w="1311" w:type="dxa"/>
            <w:vAlign w:val="center"/>
          </w:tcPr>
          <w:p w14:paraId="65C91D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膨胀螺丝</w:t>
            </w:r>
          </w:p>
        </w:tc>
        <w:tc>
          <w:tcPr>
            <w:tcW w:w="5175" w:type="dxa"/>
            <w:vAlign w:val="center"/>
          </w:tcPr>
          <w:p w14:paraId="3D32663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规格：按现场施工要求       </w:t>
            </w:r>
          </w:p>
        </w:tc>
        <w:tc>
          <w:tcPr>
            <w:tcW w:w="586" w:type="dxa"/>
            <w:vAlign w:val="center"/>
          </w:tcPr>
          <w:p w14:paraId="02AFF3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1F40F89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42 </w:t>
            </w:r>
          </w:p>
        </w:tc>
      </w:tr>
      <w:tr w14:paraId="760C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3FEDFDA">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33</w:t>
            </w:r>
          </w:p>
        </w:tc>
        <w:tc>
          <w:tcPr>
            <w:tcW w:w="1311" w:type="dxa"/>
            <w:vAlign w:val="center"/>
          </w:tcPr>
          <w:p w14:paraId="429D43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顶层现浇支墩</w:t>
            </w:r>
          </w:p>
        </w:tc>
        <w:tc>
          <w:tcPr>
            <w:tcW w:w="5175" w:type="dxa"/>
            <w:vAlign w:val="center"/>
          </w:tcPr>
          <w:p w14:paraId="14281A2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C20砼现浇支架混凝土基础及木模</w:t>
            </w:r>
          </w:p>
        </w:tc>
        <w:tc>
          <w:tcPr>
            <w:tcW w:w="586" w:type="dxa"/>
            <w:vAlign w:val="center"/>
          </w:tcPr>
          <w:p w14:paraId="16C583D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BBFAF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6 </w:t>
            </w:r>
          </w:p>
        </w:tc>
      </w:tr>
      <w:tr w14:paraId="1A0A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0DFFFA3A">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34</w:t>
            </w:r>
          </w:p>
        </w:tc>
        <w:tc>
          <w:tcPr>
            <w:tcW w:w="1311" w:type="dxa"/>
            <w:vAlign w:val="center"/>
          </w:tcPr>
          <w:p w14:paraId="3E3F97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法兰阀门</w:t>
            </w:r>
          </w:p>
        </w:tc>
        <w:tc>
          <w:tcPr>
            <w:tcW w:w="5175" w:type="dxa"/>
            <w:vAlign w:val="center"/>
          </w:tcPr>
          <w:p w14:paraId="4C20E31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型号、规格:DN50，按江苏省安装工程计价定额第十册编制</w:t>
            </w:r>
          </w:p>
        </w:tc>
        <w:tc>
          <w:tcPr>
            <w:tcW w:w="586" w:type="dxa"/>
            <w:vAlign w:val="center"/>
          </w:tcPr>
          <w:p w14:paraId="7512C8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5E078F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52B8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0ADF47C3">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35</w:t>
            </w:r>
          </w:p>
        </w:tc>
        <w:tc>
          <w:tcPr>
            <w:tcW w:w="1311" w:type="dxa"/>
            <w:vAlign w:val="center"/>
          </w:tcPr>
          <w:p w14:paraId="1AF7B3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法兰阀门</w:t>
            </w:r>
          </w:p>
        </w:tc>
        <w:tc>
          <w:tcPr>
            <w:tcW w:w="5175" w:type="dxa"/>
            <w:vAlign w:val="center"/>
          </w:tcPr>
          <w:p w14:paraId="17A3992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型号、规格:DN40，按江苏省安装工程计价定额第十册编制</w:t>
            </w:r>
          </w:p>
        </w:tc>
        <w:tc>
          <w:tcPr>
            <w:tcW w:w="586" w:type="dxa"/>
            <w:vAlign w:val="center"/>
          </w:tcPr>
          <w:p w14:paraId="218DBF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09AD5F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610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5E10AA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36</w:t>
            </w:r>
          </w:p>
        </w:tc>
        <w:tc>
          <w:tcPr>
            <w:tcW w:w="1311" w:type="dxa"/>
            <w:vAlign w:val="center"/>
          </w:tcPr>
          <w:p w14:paraId="0981DAC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丝扣阀门</w:t>
            </w:r>
          </w:p>
        </w:tc>
        <w:tc>
          <w:tcPr>
            <w:tcW w:w="5175" w:type="dxa"/>
            <w:vAlign w:val="center"/>
          </w:tcPr>
          <w:p w14:paraId="2F6A0C2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型号、规格:DN25，按江苏省安装工程计价定额第十册编制</w:t>
            </w:r>
          </w:p>
        </w:tc>
        <w:tc>
          <w:tcPr>
            <w:tcW w:w="586" w:type="dxa"/>
            <w:vAlign w:val="center"/>
          </w:tcPr>
          <w:p w14:paraId="08D8D5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4748AC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r>
      <w:tr w14:paraId="5619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4225D2E">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37</w:t>
            </w:r>
          </w:p>
        </w:tc>
        <w:tc>
          <w:tcPr>
            <w:tcW w:w="1311" w:type="dxa"/>
            <w:vAlign w:val="center"/>
          </w:tcPr>
          <w:p w14:paraId="0DF2A4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阀门试验</w:t>
            </w:r>
          </w:p>
        </w:tc>
        <w:tc>
          <w:tcPr>
            <w:tcW w:w="5175" w:type="dxa"/>
            <w:vAlign w:val="center"/>
          </w:tcPr>
          <w:p w14:paraId="2E2FDBE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阀门水压试验</w:t>
            </w:r>
          </w:p>
        </w:tc>
        <w:tc>
          <w:tcPr>
            <w:tcW w:w="586" w:type="dxa"/>
            <w:vAlign w:val="center"/>
          </w:tcPr>
          <w:p w14:paraId="23722C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265F1D2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r>
      <w:tr w14:paraId="1A02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F5E7DE5">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38</w:t>
            </w:r>
          </w:p>
        </w:tc>
        <w:tc>
          <w:tcPr>
            <w:tcW w:w="1311" w:type="dxa"/>
            <w:vAlign w:val="center"/>
          </w:tcPr>
          <w:p w14:paraId="1EC338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电磁阀</w:t>
            </w:r>
          </w:p>
        </w:tc>
        <w:tc>
          <w:tcPr>
            <w:tcW w:w="5175" w:type="dxa"/>
            <w:vAlign w:val="center"/>
          </w:tcPr>
          <w:p w14:paraId="19D7AA3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型号、规格:DN40，按江苏省安装工程计价定额第十册编制</w:t>
            </w:r>
          </w:p>
        </w:tc>
        <w:tc>
          <w:tcPr>
            <w:tcW w:w="586" w:type="dxa"/>
            <w:vAlign w:val="center"/>
          </w:tcPr>
          <w:p w14:paraId="73BD8A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58F6542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4211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1A85CB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39</w:t>
            </w:r>
          </w:p>
        </w:tc>
        <w:tc>
          <w:tcPr>
            <w:tcW w:w="1311" w:type="dxa"/>
            <w:vAlign w:val="center"/>
          </w:tcPr>
          <w:p w14:paraId="44E0B7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不锈钢防雨箱（柜）</w:t>
            </w:r>
          </w:p>
        </w:tc>
        <w:tc>
          <w:tcPr>
            <w:tcW w:w="5175" w:type="dxa"/>
            <w:vAlign w:val="center"/>
          </w:tcPr>
          <w:p w14:paraId="5CEBC1C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电磁阀不锈钢防雨箱（柜）</w:t>
            </w:r>
          </w:p>
        </w:tc>
        <w:tc>
          <w:tcPr>
            <w:tcW w:w="586" w:type="dxa"/>
            <w:vAlign w:val="center"/>
          </w:tcPr>
          <w:p w14:paraId="5666B5A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4326D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2C2C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2945754">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40</w:t>
            </w:r>
          </w:p>
        </w:tc>
        <w:tc>
          <w:tcPr>
            <w:tcW w:w="1311" w:type="dxa"/>
            <w:vAlign w:val="center"/>
          </w:tcPr>
          <w:p w14:paraId="40775B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燃气表拆除</w:t>
            </w:r>
          </w:p>
        </w:tc>
        <w:tc>
          <w:tcPr>
            <w:tcW w:w="5175" w:type="dxa"/>
            <w:vAlign w:val="center"/>
          </w:tcPr>
          <w:p w14:paraId="119038E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型号：G10</w:t>
            </w:r>
          </w:p>
        </w:tc>
        <w:tc>
          <w:tcPr>
            <w:tcW w:w="586" w:type="dxa"/>
            <w:vAlign w:val="center"/>
          </w:tcPr>
          <w:p w14:paraId="05542A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816" w:type="dxa"/>
            <w:vAlign w:val="center"/>
          </w:tcPr>
          <w:p w14:paraId="7792615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4ED7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A664494">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41</w:t>
            </w:r>
          </w:p>
        </w:tc>
        <w:tc>
          <w:tcPr>
            <w:tcW w:w="1311" w:type="dxa"/>
            <w:vAlign w:val="center"/>
          </w:tcPr>
          <w:p w14:paraId="4E34241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超声波表</w:t>
            </w:r>
          </w:p>
        </w:tc>
        <w:tc>
          <w:tcPr>
            <w:tcW w:w="5175" w:type="dxa"/>
            <w:vAlign w:val="center"/>
          </w:tcPr>
          <w:p w14:paraId="7C6AEC7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型号：G25</w:t>
            </w:r>
          </w:p>
        </w:tc>
        <w:tc>
          <w:tcPr>
            <w:tcW w:w="586" w:type="dxa"/>
            <w:vAlign w:val="center"/>
          </w:tcPr>
          <w:p w14:paraId="479E0E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816" w:type="dxa"/>
            <w:vAlign w:val="center"/>
          </w:tcPr>
          <w:p w14:paraId="3604961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32A0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6F05C5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42</w:t>
            </w:r>
          </w:p>
        </w:tc>
        <w:tc>
          <w:tcPr>
            <w:tcW w:w="1311" w:type="dxa"/>
            <w:vAlign w:val="center"/>
          </w:tcPr>
          <w:p w14:paraId="0BDDF8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金属缠绕垫</w:t>
            </w:r>
          </w:p>
        </w:tc>
        <w:tc>
          <w:tcPr>
            <w:tcW w:w="5175" w:type="dxa"/>
            <w:vAlign w:val="center"/>
          </w:tcPr>
          <w:p w14:paraId="57EF58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DN50</w:t>
            </w:r>
          </w:p>
        </w:tc>
        <w:tc>
          <w:tcPr>
            <w:tcW w:w="586" w:type="dxa"/>
            <w:vAlign w:val="center"/>
          </w:tcPr>
          <w:p w14:paraId="7ABE76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41959A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r>
      <w:tr w14:paraId="1FC3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45307DD">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43</w:t>
            </w:r>
          </w:p>
        </w:tc>
        <w:tc>
          <w:tcPr>
            <w:tcW w:w="1311" w:type="dxa"/>
            <w:vAlign w:val="center"/>
          </w:tcPr>
          <w:p w14:paraId="7225E5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金属缠绕垫</w:t>
            </w:r>
          </w:p>
        </w:tc>
        <w:tc>
          <w:tcPr>
            <w:tcW w:w="5175" w:type="dxa"/>
            <w:vAlign w:val="center"/>
          </w:tcPr>
          <w:p w14:paraId="33C6DC5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DN40</w:t>
            </w:r>
          </w:p>
        </w:tc>
        <w:tc>
          <w:tcPr>
            <w:tcW w:w="586" w:type="dxa"/>
            <w:vAlign w:val="center"/>
          </w:tcPr>
          <w:p w14:paraId="6EACB61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4E4089B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 </w:t>
            </w:r>
          </w:p>
        </w:tc>
      </w:tr>
      <w:tr w14:paraId="12D2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4134690A">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44</w:t>
            </w:r>
          </w:p>
        </w:tc>
        <w:tc>
          <w:tcPr>
            <w:tcW w:w="1311" w:type="dxa"/>
            <w:vAlign w:val="center"/>
          </w:tcPr>
          <w:p w14:paraId="2713A5D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精制带母镀锌螺栓</w:t>
            </w:r>
          </w:p>
        </w:tc>
        <w:tc>
          <w:tcPr>
            <w:tcW w:w="5175" w:type="dxa"/>
            <w:vAlign w:val="center"/>
          </w:tcPr>
          <w:p w14:paraId="6BCB126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M16*85~140</w:t>
            </w:r>
          </w:p>
        </w:tc>
        <w:tc>
          <w:tcPr>
            <w:tcW w:w="586" w:type="dxa"/>
            <w:vAlign w:val="center"/>
          </w:tcPr>
          <w:p w14:paraId="1F0E2F2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01A268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28 </w:t>
            </w:r>
          </w:p>
        </w:tc>
      </w:tr>
      <w:tr w14:paraId="344D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880D2E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45</w:t>
            </w:r>
          </w:p>
        </w:tc>
        <w:tc>
          <w:tcPr>
            <w:tcW w:w="1311" w:type="dxa"/>
            <w:vAlign w:val="center"/>
          </w:tcPr>
          <w:p w14:paraId="309C86C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铜跨接</w:t>
            </w:r>
          </w:p>
        </w:tc>
        <w:tc>
          <w:tcPr>
            <w:tcW w:w="5175" w:type="dxa"/>
            <w:vAlign w:val="center"/>
          </w:tcPr>
          <w:p w14:paraId="6A67622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名称:铜跨接</w:t>
            </w:r>
          </w:p>
        </w:tc>
        <w:tc>
          <w:tcPr>
            <w:tcW w:w="586" w:type="dxa"/>
            <w:vAlign w:val="center"/>
          </w:tcPr>
          <w:p w14:paraId="0B54F9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816" w:type="dxa"/>
            <w:vAlign w:val="center"/>
          </w:tcPr>
          <w:p w14:paraId="066979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7 </w:t>
            </w:r>
          </w:p>
        </w:tc>
      </w:tr>
      <w:tr w14:paraId="2D34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F4C8E0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46</w:t>
            </w:r>
          </w:p>
        </w:tc>
        <w:tc>
          <w:tcPr>
            <w:tcW w:w="1311" w:type="dxa"/>
            <w:vAlign w:val="center"/>
          </w:tcPr>
          <w:p w14:paraId="6DD412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避雷网</w:t>
            </w:r>
          </w:p>
        </w:tc>
        <w:tc>
          <w:tcPr>
            <w:tcW w:w="5175" w:type="dxa"/>
            <w:vAlign w:val="center"/>
          </w:tcPr>
          <w:p w14:paraId="729D730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室外沿墙水平架空敷设的燃气管道要求每隔25m至少于避雷网采用直径不小于8mm的镀锌圆钢进行连接，焊接采取防腐措施，</w:t>
            </w:r>
          </w:p>
          <w:p w14:paraId="40A129A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室外竖直敷设的燃气管道应每隔不大于12m就近与建筑物防雷装置可靠连接，与管道安装同步进行，不再考虑安装措施费</w:t>
            </w:r>
          </w:p>
        </w:tc>
        <w:tc>
          <w:tcPr>
            <w:tcW w:w="586" w:type="dxa"/>
            <w:vAlign w:val="center"/>
          </w:tcPr>
          <w:p w14:paraId="5B4FA8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1A67E71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 </w:t>
            </w:r>
          </w:p>
        </w:tc>
      </w:tr>
      <w:tr w14:paraId="28CF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4B13AB98">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47</w:t>
            </w:r>
          </w:p>
        </w:tc>
        <w:tc>
          <w:tcPr>
            <w:tcW w:w="1311" w:type="dxa"/>
            <w:vAlign w:val="center"/>
          </w:tcPr>
          <w:p w14:paraId="4935C6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报警电缆</w:t>
            </w:r>
          </w:p>
        </w:tc>
        <w:tc>
          <w:tcPr>
            <w:tcW w:w="5175" w:type="dxa"/>
            <w:vAlign w:val="center"/>
          </w:tcPr>
          <w:p w14:paraId="579393E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多芯软导线管内穿线三芯内</w:t>
            </w:r>
          </w:p>
        </w:tc>
        <w:tc>
          <w:tcPr>
            <w:tcW w:w="586" w:type="dxa"/>
            <w:vAlign w:val="center"/>
          </w:tcPr>
          <w:p w14:paraId="55DD452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61886E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5 </w:t>
            </w:r>
          </w:p>
        </w:tc>
      </w:tr>
      <w:tr w14:paraId="0E81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0B6A384">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48</w:t>
            </w:r>
          </w:p>
        </w:tc>
        <w:tc>
          <w:tcPr>
            <w:tcW w:w="1311" w:type="dxa"/>
            <w:vAlign w:val="center"/>
          </w:tcPr>
          <w:p w14:paraId="53C397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报警电缆</w:t>
            </w:r>
          </w:p>
        </w:tc>
        <w:tc>
          <w:tcPr>
            <w:tcW w:w="5175" w:type="dxa"/>
            <w:vAlign w:val="center"/>
          </w:tcPr>
          <w:p w14:paraId="289DAB8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多芯软导线管内穿线 四芯内</w:t>
            </w:r>
          </w:p>
        </w:tc>
        <w:tc>
          <w:tcPr>
            <w:tcW w:w="586" w:type="dxa"/>
            <w:vAlign w:val="center"/>
          </w:tcPr>
          <w:p w14:paraId="670628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5E1A38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150 </w:t>
            </w:r>
          </w:p>
        </w:tc>
      </w:tr>
      <w:tr w14:paraId="21EB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6E211133">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49</w:t>
            </w:r>
          </w:p>
        </w:tc>
        <w:tc>
          <w:tcPr>
            <w:tcW w:w="1311" w:type="dxa"/>
            <w:vAlign w:val="center"/>
          </w:tcPr>
          <w:p w14:paraId="0A2A47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报警电缆</w:t>
            </w:r>
          </w:p>
        </w:tc>
        <w:tc>
          <w:tcPr>
            <w:tcW w:w="5175" w:type="dxa"/>
            <w:vAlign w:val="center"/>
          </w:tcPr>
          <w:p w14:paraId="7F52164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多芯软导线管内穿线 五芯内</w:t>
            </w:r>
          </w:p>
        </w:tc>
        <w:tc>
          <w:tcPr>
            <w:tcW w:w="586" w:type="dxa"/>
            <w:vAlign w:val="center"/>
          </w:tcPr>
          <w:p w14:paraId="4CB4DC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7A6E52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95 </w:t>
            </w:r>
          </w:p>
        </w:tc>
      </w:tr>
      <w:tr w14:paraId="5CDC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4C22192B">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50</w:t>
            </w:r>
          </w:p>
        </w:tc>
        <w:tc>
          <w:tcPr>
            <w:tcW w:w="1311" w:type="dxa"/>
            <w:vAlign w:val="center"/>
          </w:tcPr>
          <w:p w14:paraId="2CB0EA4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配管</w:t>
            </w:r>
          </w:p>
        </w:tc>
        <w:tc>
          <w:tcPr>
            <w:tcW w:w="5175" w:type="dxa"/>
            <w:vAlign w:val="center"/>
          </w:tcPr>
          <w:p w14:paraId="56E7F4E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KBG管</w:t>
            </w:r>
          </w:p>
        </w:tc>
        <w:tc>
          <w:tcPr>
            <w:tcW w:w="586" w:type="dxa"/>
            <w:vAlign w:val="center"/>
          </w:tcPr>
          <w:p w14:paraId="017A36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23060BE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96.5 </w:t>
            </w:r>
          </w:p>
        </w:tc>
      </w:tr>
      <w:tr w14:paraId="481F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5C53F0D">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51</w:t>
            </w:r>
          </w:p>
        </w:tc>
        <w:tc>
          <w:tcPr>
            <w:tcW w:w="1311" w:type="dxa"/>
            <w:vAlign w:val="center"/>
          </w:tcPr>
          <w:p w14:paraId="518C20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配管</w:t>
            </w:r>
          </w:p>
        </w:tc>
        <w:tc>
          <w:tcPr>
            <w:tcW w:w="5175" w:type="dxa"/>
            <w:vAlign w:val="center"/>
          </w:tcPr>
          <w:p w14:paraId="4BF3E0B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镀锌管安装</w:t>
            </w:r>
          </w:p>
        </w:tc>
        <w:tc>
          <w:tcPr>
            <w:tcW w:w="586" w:type="dxa"/>
            <w:vAlign w:val="center"/>
          </w:tcPr>
          <w:p w14:paraId="710D0DD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033B59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0.5 </w:t>
            </w:r>
          </w:p>
        </w:tc>
      </w:tr>
      <w:tr w14:paraId="4DAD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2AE8BD57">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52</w:t>
            </w:r>
          </w:p>
        </w:tc>
        <w:tc>
          <w:tcPr>
            <w:tcW w:w="1311" w:type="dxa"/>
            <w:vAlign w:val="center"/>
          </w:tcPr>
          <w:p w14:paraId="29E944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金属软管</w:t>
            </w:r>
          </w:p>
        </w:tc>
        <w:tc>
          <w:tcPr>
            <w:tcW w:w="5175" w:type="dxa"/>
            <w:vAlign w:val="center"/>
          </w:tcPr>
          <w:p w14:paraId="58211CB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金属软管安装</w:t>
            </w:r>
          </w:p>
        </w:tc>
        <w:tc>
          <w:tcPr>
            <w:tcW w:w="586" w:type="dxa"/>
            <w:vAlign w:val="center"/>
          </w:tcPr>
          <w:p w14:paraId="33B05A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816" w:type="dxa"/>
            <w:vAlign w:val="center"/>
          </w:tcPr>
          <w:p w14:paraId="62E87DF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r>
      <w:tr w14:paraId="71A0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0C9F1DB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53</w:t>
            </w:r>
          </w:p>
        </w:tc>
        <w:tc>
          <w:tcPr>
            <w:tcW w:w="1311" w:type="dxa"/>
            <w:vAlign w:val="center"/>
          </w:tcPr>
          <w:p w14:paraId="1AAD52B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接线盒</w:t>
            </w:r>
          </w:p>
        </w:tc>
        <w:tc>
          <w:tcPr>
            <w:tcW w:w="5175" w:type="dxa"/>
            <w:vAlign w:val="center"/>
          </w:tcPr>
          <w:p w14:paraId="0DBFB56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防爆接线、穿线盒</w:t>
            </w:r>
          </w:p>
        </w:tc>
        <w:tc>
          <w:tcPr>
            <w:tcW w:w="586" w:type="dxa"/>
            <w:vAlign w:val="center"/>
          </w:tcPr>
          <w:p w14:paraId="60E7121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1E0251F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r>
      <w:tr w14:paraId="2142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42B855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54</w:t>
            </w:r>
          </w:p>
        </w:tc>
        <w:tc>
          <w:tcPr>
            <w:tcW w:w="1311" w:type="dxa"/>
            <w:vAlign w:val="center"/>
          </w:tcPr>
          <w:p w14:paraId="44434E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接线盒</w:t>
            </w:r>
          </w:p>
        </w:tc>
        <w:tc>
          <w:tcPr>
            <w:tcW w:w="5175" w:type="dxa"/>
            <w:vAlign w:val="center"/>
          </w:tcPr>
          <w:p w14:paraId="48D8413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防爆接线、穿线盒（三通）</w:t>
            </w:r>
          </w:p>
        </w:tc>
        <w:tc>
          <w:tcPr>
            <w:tcW w:w="586" w:type="dxa"/>
            <w:vAlign w:val="center"/>
          </w:tcPr>
          <w:p w14:paraId="6DF2B5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47B7A5B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 </w:t>
            </w:r>
          </w:p>
        </w:tc>
      </w:tr>
      <w:tr w14:paraId="392B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FAD895C">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55</w:t>
            </w:r>
          </w:p>
        </w:tc>
        <w:tc>
          <w:tcPr>
            <w:tcW w:w="1311" w:type="dxa"/>
            <w:vAlign w:val="center"/>
          </w:tcPr>
          <w:p w14:paraId="21651B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点型探测器</w:t>
            </w:r>
          </w:p>
        </w:tc>
        <w:tc>
          <w:tcPr>
            <w:tcW w:w="5175" w:type="dxa"/>
            <w:vAlign w:val="center"/>
          </w:tcPr>
          <w:p w14:paraId="3FAD259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安装及调试</w:t>
            </w:r>
          </w:p>
        </w:tc>
        <w:tc>
          <w:tcPr>
            <w:tcW w:w="586" w:type="dxa"/>
            <w:vAlign w:val="center"/>
          </w:tcPr>
          <w:p w14:paraId="40844A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E019D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 </w:t>
            </w:r>
          </w:p>
        </w:tc>
      </w:tr>
      <w:tr w14:paraId="5EDC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4EB9BC35">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56</w:t>
            </w:r>
          </w:p>
        </w:tc>
        <w:tc>
          <w:tcPr>
            <w:tcW w:w="1311" w:type="dxa"/>
            <w:vAlign w:val="center"/>
          </w:tcPr>
          <w:p w14:paraId="2FF17C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气体报警控制器</w:t>
            </w:r>
          </w:p>
        </w:tc>
        <w:tc>
          <w:tcPr>
            <w:tcW w:w="5175" w:type="dxa"/>
            <w:vAlign w:val="center"/>
          </w:tcPr>
          <w:p w14:paraId="487F29B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安装及调试</w:t>
            </w:r>
          </w:p>
        </w:tc>
        <w:tc>
          <w:tcPr>
            <w:tcW w:w="586" w:type="dxa"/>
            <w:vAlign w:val="center"/>
          </w:tcPr>
          <w:p w14:paraId="3506C5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57F821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0334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2C071920">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57</w:t>
            </w:r>
          </w:p>
        </w:tc>
        <w:tc>
          <w:tcPr>
            <w:tcW w:w="1311" w:type="dxa"/>
            <w:vAlign w:val="center"/>
          </w:tcPr>
          <w:p w14:paraId="59BC63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现场手动触发报警装置</w:t>
            </w:r>
          </w:p>
        </w:tc>
        <w:tc>
          <w:tcPr>
            <w:tcW w:w="5175" w:type="dxa"/>
            <w:vAlign w:val="center"/>
          </w:tcPr>
          <w:p w14:paraId="1D52902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安装及调试</w:t>
            </w:r>
          </w:p>
        </w:tc>
        <w:tc>
          <w:tcPr>
            <w:tcW w:w="586" w:type="dxa"/>
            <w:vAlign w:val="center"/>
          </w:tcPr>
          <w:p w14:paraId="45468E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223028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76F0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CDBF7E0">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58</w:t>
            </w:r>
          </w:p>
        </w:tc>
        <w:tc>
          <w:tcPr>
            <w:tcW w:w="1311" w:type="dxa"/>
            <w:vAlign w:val="center"/>
          </w:tcPr>
          <w:p w14:paraId="3DC9F8B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声光报警器</w:t>
            </w:r>
          </w:p>
        </w:tc>
        <w:tc>
          <w:tcPr>
            <w:tcW w:w="5175" w:type="dxa"/>
            <w:vAlign w:val="center"/>
          </w:tcPr>
          <w:p w14:paraId="75DF12B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安装及调试</w:t>
            </w:r>
          </w:p>
        </w:tc>
        <w:tc>
          <w:tcPr>
            <w:tcW w:w="586" w:type="dxa"/>
            <w:vAlign w:val="center"/>
          </w:tcPr>
          <w:p w14:paraId="61F767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75F0A9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713B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24663222">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59</w:t>
            </w:r>
          </w:p>
        </w:tc>
        <w:tc>
          <w:tcPr>
            <w:tcW w:w="1311" w:type="dxa"/>
            <w:vAlign w:val="center"/>
          </w:tcPr>
          <w:p w14:paraId="0AAA7BB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联动模块</w:t>
            </w:r>
          </w:p>
        </w:tc>
        <w:tc>
          <w:tcPr>
            <w:tcW w:w="5175" w:type="dxa"/>
            <w:vAlign w:val="center"/>
          </w:tcPr>
          <w:p w14:paraId="2F241F4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安装及调试</w:t>
            </w:r>
          </w:p>
        </w:tc>
        <w:tc>
          <w:tcPr>
            <w:tcW w:w="586" w:type="dxa"/>
            <w:vAlign w:val="center"/>
          </w:tcPr>
          <w:p w14:paraId="46857F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31E355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r>
      <w:tr w14:paraId="2A04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3617FCCF">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60</w:t>
            </w:r>
          </w:p>
        </w:tc>
        <w:tc>
          <w:tcPr>
            <w:tcW w:w="1311" w:type="dxa"/>
            <w:vAlign w:val="center"/>
          </w:tcPr>
          <w:p w14:paraId="5ACDA1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远传模块</w:t>
            </w:r>
          </w:p>
        </w:tc>
        <w:tc>
          <w:tcPr>
            <w:tcW w:w="5175" w:type="dxa"/>
            <w:vAlign w:val="center"/>
          </w:tcPr>
          <w:p w14:paraId="139C4EC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安装及调试</w:t>
            </w:r>
          </w:p>
        </w:tc>
        <w:tc>
          <w:tcPr>
            <w:tcW w:w="586" w:type="dxa"/>
            <w:vAlign w:val="center"/>
          </w:tcPr>
          <w:p w14:paraId="01E695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816" w:type="dxa"/>
            <w:vAlign w:val="center"/>
          </w:tcPr>
          <w:p w14:paraId="08E937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46D8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53AECA22">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61</w:t>
            </w:r>
          </w:p>
        </w:tc>
        <w:tc>
          <w:tcPr>
            <w:tcW w:w="1311" w:type="dxa"/>
            <w:vAlign w:val="center"/>
          </w:tcPr>
          <w:p w14:paraId="2861839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自动报警系统调试</w:t>
            </w:r>
          </w:p>
        </w:tc>
        <w:tc>
          <w:tcPr>
            <w:tcW w:w="5175" w:type="dxa"/>
            <w:vAlign w:val="center"/>
          </w:tcPr>
          <w:p w14:paraId="42211C2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点数:8点以下</w:t>
            </w:r>
          </w:p>
        </w:tc>
        <w:tc>
          <w:tcPr>
            <w:tcW w:w="586" w:type="dxa"/>
            <w:vAlign w:val="center"/>
          </w:tcPr>
          <w:p w14:paraId="620A4A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w:t>
            </w:r>
          </w:p>
        </w:tc>
        <w:tc>
          <w:tcPr>
            <w:tcW w:w="816" w:type="dxa"/>
            <w:vAlign w:val="center"/>
          </w:tcPr>
          <w:p w14:paraId="503F40D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0E1D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7F82BE34">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62</w:t>
            </w:r>
          </w:p>
        </w:tc>
        <w:tc>
          <w:tcPr>
            <w:tcW w:w="1311" w:type="dxa"/>
            <w:vAlign w:val="center"/>
          </w:tcPr>
          <w:p w14:paraId="47A15F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移动式脚手架</w:t>
            </w:r>
          </w:p>
        </w:tc>
        <w:tc>
          <w:tcPr>
            <w:tcW w:w="5175" w:type="dxa"/>
            <w:vAlign w:val="center"/>
          </w:tcPr>
          <w:p w14:paraId="5DDF2A7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含租金、进出场费用</w:t>
            </w:r>
          </w:p>
        </w:tc>
        <w:tc>
          <w:tcPr>
            <w:tcW w:w="586" w:type="dxa"/>
            <w:vAlign w:val="center"/>
          </w:tcPr>
          <w:p w14:paraId="5AB167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付</w:t>
            </w:r>
          </w:p>
        </w:tc>
        <w:tc>
          <w:tcPr>
            <w:tcW w:w="816" w:type="dxa"/>
            <w:vAlign w:val="center"/>
          </w:tcPr>
          <w:p w14:paraId="418FC0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r>
      <w:tr w14:paraId="3FF5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vAlign w:val="center"/>
          </w:tcPr>
          <w:p w14:paraId="10996909">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63</w:t>
            </w:r>
          </w:p>
        </w:tc>
        <w:tc>
          <w:tcPr>
            <w:tcW w:w="1311" w:type="dxa"/>
            <w:vAlign w:val="center"/>
          </w:tcPr>
          <w:p w14:paraId="6CBD4A8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登高车</w:t>
            </w:r>
          </w:p>
        </w:tc>
        <w:tc>
          <w:tcPr>
            <w:tcW w:w="5175" w:type="dxa"/>
            <w:vAlign w:val="center"/>
          </w:tcPr>
          <w:p w14:paraId="1CF5151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含租金、进出场费用</w:t>
            </w:r>
          </w:p>
        </w:tc>
        <w:tc>
          <w:tcPr>
            <w:tcW w:w="586" w:type="dxa"/>
            <w:vAlign w:val="center"/>
          </w:tcPr>
          <w:p w14:paraId="6D8D9D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台班</w:t>
            </w:r>
          </w:p>
        </w:tc>
        <w:tc>
          <w:tcPr>
            <w:tcW w:w="816" w:type="dxa"/>
            <w:vAlign w:val="center"/>
          </w:tcPr>
          <w:p w14:paraId="7833B59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 </w:t>
            </w:r>
          </w:p>
        </w:tc>
      </w:tr>
    </w:tbl>
    <w:p w14:paraId="40CADCE2">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二、产品要求</w:t>
      </w:r>
    </w:p>
    <w:p w14:paraId="5E2E2729">
      <w:pPr>
        <w:spacing w:line="500" w:lineRule="exact"/>
        <w:ind w:firstLine="560" w:firstLineChars="200"/>
        <w:rPr>
          <w:rFonts w:hint="eastAsia" w:ascii="仿宋" w:hAnsi="仿宋" w:eastAsia="仿宋" w:cs="仿宋"/>
          <w:bCs/>
          <w:sz w:val="28"/>
          <w:szCs w:val="28"/>
          <w:lang w:val="ru-RU"/>
        </w:rPr>
      </w:pPr>
      <w:r>
        <w:rPr>
          <w:rFonts w:hint="eastAsia" w:ascii="仿宋" w:hAnsi="仿宋" w:eastAsia="仿宋" w:cs="仿宋"/>
          <w:bCs/>
          <w:sz w:val="28"/>
          <w:szCs w:val="28"/>
          <w:lang w:val="ru-RU"/>
        </w:rPr>
        <w:t>1.投标供应商应保证货物是全新、未使用过的原厂合格产品，并完全符合</w:t>
      </w:r>
      <w:r>
        <w:rPr>
          <w:rFonts w:hint="eastAsia" w:ascii="仿宋" w:hAnsi="仿宋" w:eastAsia="仿宋" w:cs="仿宋"/>
          <w:bCs/>
          <w:sz w:val="28"/>
          <w:szCs w:val="28"/>
        </w:rPr>
        <w:t>磋商</w:t>
      </w:r>
      <w:r>
        <w:rPr>
          <w:rFonts w:hint="eastAsia" w:ascii="仿宋" w:hAnsi="仿宋" w:eastAsia="仿宋" w:cs="仿宋"/>
          <w:bCs/>
          <w:sz w:val="28"/>
          <w:szCs w:val="28"/>
          <w:lang w:val="ru-RU"/>
        </w:rPr>
        <w:t>文件的质量、规格和参数的要求。</w:t>
      </w:r>
    </w:p>
    <w:p w14:paraId="57447A86">
      <w:pPr>
        <w:spacing w:line="50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lang w:val="ru-RU"/>
        </w:rPr>
        <w:t>2.投标供应商应保证提供的产品不得侵犯第三方专利权、商标权和设计权、版权等。否则，投标供应商应负全部责任，并承担由此引起的一切后果。</w:t>
      </w:r>
    </w:p>
    <w:p w14:paraId="602CDA07">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三、验收的具体方案</w:t>
      </w:r>
    </w:p>
    <w:p w14:paraId="275B344B">
      <w:pPr>
        <w:spacing w:line="50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lang w:val="ru-RU"/>
        </w:rPr>
        <w:t>在接到供应商以书面形式提出验收申请后，在5个工作日内及时组织相关专业技术人员，必要时邀请</w:t>
      </w:r>
      <w:r>
        <w:rPr>
          <w:rFonts w:hint="eastAsia" w:ascii="仿宋" w:hAnsi="仿宋" w:eastAsia="仿宋" w:cs="仿宋"/>
          <w:bCs/>
          <w:sz w:val="28"/>
          <w:szCs w:val="28"/>
        </w:rPr>
        <w:t>后勤、纪检</w:t>
      </w:r>
      <w:r>
        <w:rPr>
          <w:rFonts w:hint="eastAsia" w:ascii="仿宋" w:hAnsi="仿宋" w:eastAsia="仿宋" w:cs="仿宋"/>
          <w:bCs/>
          <w:sz w:val="28"/>
          <w:szCs w:val="28"/>
          <w:lang w:val="ru-RU"/>
        </w:rPr>
        <w:t>等部门共同参与验收，并出具验收报告，作为支付货款的依据。</w:t>
      </w:r>
    </w:p>
    <w:p w14:paraId="63AC864F">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四、项目交付或者实施的时间和地点</w:t>
      </w:r>
    </w:p>
    <w:p w14:paraId="274AEB8C">
      <w:pPr>
        <w:spacing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地点：</w:t>
      </w:r>
      <w:r>
        <w:rPr>
          <w:rFonts w:hint="eastAsia" w:ascii="仿宋" w:hAnsi="仿宋" w:eastAsia="仿宋" w:cs="仿宋"/>
          <w:sz w:val="28"/>
          <w:szCs w:val="28"/>
        </w:rPr>
        <w:t>采购人指定地点</w:t>
      </w:r>
      <w:r>
        <w:rPr>
          <w:rFonts w:hint="eastAsia" w:ascii="仿宋" w:hAnsi="仿宋" w:eastAsia="仿宋" w:cs="仿宋"/>
          <w:sz w:val="28"/>
          <w:szCs w:val="28"/>
          <w:lang w:val="zh-CN"/>
        </w:rPr>
        <w:t>。</w:t>
      </w:r>
    </w:p>
    <w:p w14:paraId="0A219EC1">
      <w:pPr>
        <w:spacing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2.供货期</w:t>
      </w:r>
      <w:r>
        <w:rPr>
          <w:rFonts w:hint="eastAsia" w:ascii="仿宋" w:hAnsi="仿宋" w:eastAsia="仿宋" w:cs="仿宋"/>
          <w:sz w:val="28"/>
          <w:szCs w:val="28"/>
          <w:lang w:val="zh-CN"/>
        </w:rPr>
        <w:t>：</w:t>
      </w:r>
      <w:r>
        <w:rPr>
          <w:rFonts w:hint="eastAsia" w:ascii="仿宋" w:hAnsi="仿宋" w:eastAsia="仿宋"/>
          <w:sz w:val="28"/>
          <w:szCs w:val="28"/>
          <w:highlight w:val="none"/>
          <w:lang w:val="en-US" w:eastAsia="zh-CN"/>
        </w:rPr>
        <w:t>合同签订后40个工作日内完成供货及调试完毕</w:t>
      </w:r>
      <w:r>
        <w:rPr>
          <w:rFonts w:hint="eastAsia" w:ascii="仿宋" w:hAnsi="仿宋" w:eastAsia="仿宋" w:cs="仿宋"/>
          <w:spacing w:val="7"/>
          <w:sz w:val="28"/>
          <w:szCs w:val="28"/>
          <w:shd w:val="clear" w:color="auto" w:fill="FFFFFF"/>
        </w:rPr>
        <w:t>。</w:t>
      </w:r>
    </w:p>
    <w:p w14:paraId="0B44D489">
      <w:pPr>
        <w:snapToGrid w:val="0"/>
        <w:spacing w:line="460" w:lineRule="exact"/>
        <w:ind w:firstLine="562" w:firstLineChars="200"/>
        <w:contextualSpacing/>
        <w:rPr>
          <w:rFonts w:hint="eastAsia" w:ascii="仿宋" w:hAnsi="仿宋" w:eastAsia="仿宋" w:cs="仿宋"/>
          <w:sz w:val="28"/>
          <w:szCs w:val="28"/>
        </w:rPr>
      </w:pPr>
      <w:r>
        <w:rPr>
          <w:rFonts w:hint="eastAsia" w:ascii="仿宋" w:hAnsi="仿宋" w:eastAsia="仿宋" w:cs="仿宋"/>
          <w:b/>
          <w:sz w:val="28"/>
          <w:szCs w:val="28"/>
        </w:rPr>
        <w:t>五、</w:t>
      </w:r>
      <w:r>
        <w:rPr>
          <w:rFonts w:hint="eastAsia" w:ascii="仿宋" w:hAnsi="仿宋" w:eastAsia="仿宋" w:cs="仿宋"/>
          <w:b/>
          <w:sz w:val="28"/>
          <w:szCs w:val="28"/>
          <w:lang w:val="zh-CN"/>
        </w:rPr>
        <w:t>付款方式：</w:t>
      </w:r>
      <w:r>
        <w:rPr>
          <w:rFonts w:hint="eastAsia" w:ascii="仿宋" w:hAnsi="仿宋" w:eastAsia="仿宋" w:cs="仿宋"/>
          <w:sz w:val="28"/>
          <w:szCs w:val="28"/>
        </w:rPr>
        <w:t>项目验收合格后</w:t>
      </w:r>
      <w:r>
        <w:rPr>
          <w:rFonts w:hint="eastAsia" w:ascii="仿宋" w:hAnsi="仿宋" w:eastAsia="仿宋" w:cs="仿宋"/>
          <w:sz w:val="28"/>
          <w:szCs w:val="28"/>
          <w:lang w:val="en-US" w:eastAsia="zh-CN"/>
        </w:rPr>
        <w:t>付至合同价的90%，余款10%待一年后无任何质量问题一次性付清</w:t>
      </w:r>
      <w:r>
        <w:rPr>
          <w:rFonts w:hint="eastAsia" w:ascii="仿宋" w:hAnsi="仿宋" w:eastAsia="仿宋" w:cs="仿宋"/>
          <w:sz w:val="28"/>
          <w:szCs w:val="28"/>
        </w:rPr>
        <w:t>。</w:t>
      </w:r>
    </w:p>
    <w:p w14:paraId="51E457E1">
      <w:pPr>
        <w:snapToGrid w:val="0"/>
        <w:spacing w:line="460" w:lineRule="exact"/>
        <w:ind w:firstLine="562" w:firstLineChars="200"/>
        <w:contextualSpacing/>
        <w:rPr>
          <w:rFonts w:hint="eastAsia" w:ascii="仿宋" w:hAnsi="仿宋" w:eastAsia="仿宋" w:cs="仿宋"/>
          <w:b/>
          <w:bCs w:val="0"/>
          <w:sz w:val="28"/>
          <w:szCs w:val="28"/>
          <w:lang w:val="ru-RU"/>
        </w:rPr>
      </w:pPr>
      <w:r>
        <w:rPr>
          <w:rFonts w:hint="eastAsia" w:ascii="仿宋" w:hAnsi="仿宋" w:eastAsia="仿宋" w:cs="仿宋"/>
          <w:b/>
          <w:bCs w:val="0"/>
          <w:sz w:val="28"/>
          <w:szCs w:val="28"/>
          <w:lang w:val="en-US" w:eastAsia="zh-CN"/>
        </w:rPr>
        <w:t>六</w:t>
      </w:r>
      <w:r>
        <w:rPr>
          <w:rFonts w:hint="eastAsia" w:ascii="仿宋" w:hAnsi="仿宋" w:eastAsia="仿宋" w:cs="仿宋"/>
          <w:b/>
          <w:bCs w:val="0"/>
          <w:sz w:val="28"/>
          <w:szCs w:val="28"/>
          <w:lang w:val="ru-RU"/>
        </w:rPr>
        <w:t>、</w:t>
      </w:r>
      <w:r>
        <w:rPr>
          <w:rFonts w:hint="eastAsia" w:ascii="仿宋" w:hAnsi="仿宋" w:eastAsia="仿宋" w:cs="仿宋"/>
          <w:b/>
          <w:bCs w:val="0"/>
          <w:sz w:val="28"/>
          <w:szCs w:val="28"/>
          <w:lang w:val="en-US" w:eastAsia="zh-CN"/>
        </w:rPr>
        <w:t>本</w:t>
      </w:r>
      <w:r>
        <w:rPr>
          <w:rFonts w:hint="eastAsia" w:ascii="仿宋" w:hAnsi="仿宋" w:eastAsia="仿宋" w:cs="仿宋"/>
          <w:b/>
          <w:bCs w:val="0"/>
          <w:sz w:val="28"/>
          <w:szCs w:val="28"/>
          <w:lang w:val="ru-RU"/>
        </w:rPr>
        <w:t>项目涉及到的现场勘察</w:t>
      </w:r>
    </w:p>
    <w:p w14:paraId="0EFA0C4D">
      <w:pPr>
        <w:spacing w:line="500" w:lineRule="exact"/>
        <w:ind w:firstLine="560" w:firstLineChars="200"/>
        <w:rPr>
          <w:rFonts w:hint="eastAsia" w:ascii="仿宋" w:hAnsi="仿宋" w:eastAsia="仿宋" w:cs="仿宋"/>
          <w:bCs/>
          <w:sz w:val="28"/>
          <w:szCs w:val="28"/>
          <w:lang w:val="ru-RU"/>
        </w:rPr>
      </w:pPr>
      <w:r>
        <w:rPr>
          <w:rFonts w:hint="eastAsia" w:ascii="仿宋" w:hAnsi="仿宋" w:eastAsia="仿宋" w:cs="仿宋"/>
          <w:bCs/>
          <w:sz w:val="28"/>
          <w:szCs w:val="28"/>
          <w:lang w:val="ru-RU"/>
        </w:rPr>
        <w:t>1.</w:t>
      </w:r>
      <w:r>
        <w:rPr>
          <w:rFonts w:hint="eastAsia" w:ascii="仿宋" w:hAnsi="仿宋" w:eastAsia="仿宋" w:cs="仿宋"/>
          <w:bCs/>
          <w:sz w:val="28"/>
          <w:szCs w:val="28"/>
          <w:lang w:val="ru-RU" w:eastAsia="zh-CN"/>
        </w:rPr>
        <w:t>磋商文件</w:t>
      </w:r>
      <w:r>
        <w:rPr>
          <w:rFonts w:hint="eastAsia" w:ascii="仿宋" w:hAnsi="仿宋" w:eastAsia="仿宋" w:cs="仿宋"/>
          <w:bCs/>
          <w:sz w:val="28"/>
          <w:szCs w:val="28"/>
          <w:lang w:val="ru-RU"/>
        </w:rPr>
        <w:t>所提供的项目相关数据仅做参考，根据自身需要，供应商应在投标文件递交之日前对有关现场和周围环境进行勘察，以获取编制投标文件和签署合同所需的信息。勘察现场所发生的费用由供应商自己承担。</w:t>
      </w:r>
    </w:p>
    <w:p w14:paraId="3D264787">
      <w:pPr>
        <w:spacing w:line="500" w:lineRule="exact"/>
        <w:ind w:firstLine="560" w:firstLineChars="200"/>
        <w:rPr>
          <w:rFonts w:hint="eastAsia" w:ascii="仿宋" w:hAnsi="仿宋" w:eastAsia="仿宋" w:cs="仿宋"/>
          <w:bCs/>
          <w:sz w:val="28"/>
          <w:szCs w:val="28"/>
          <w:lang w:val="ru-RU"/>
        </w:rPr>
      </w:pPr>
      <w:r>
        <w:rPr>
          <w:rFonts w:hint="eastAsia" w:ascii="仿宋" w:hAnsi="仿宋" w:eastAsia="仿宋" w:cs="仿宋"/>
          <w:bCs/>
          <w:sz w:val="28"/>
          <w:szCs w:val="28"/>
          <w:lang w:val="ru-RU"/>
        </w:rPr>
        <w:t>2.采购单位向供应商提供的有关现场的资料和数据，是采购单位现有的并认为能使供应商可利用的资料。采购单位对供应商由此而做出的推论、理解和结论概不负责。</w:t>
      </w:r>
    </w:p>
    <w:p w14:paraId="5D986F1E">
      <w:pPr>
        <w:spacing w:line="500" w:lineRule="exact"/>
        <w:ind w:firstLine="560" w:firstLineChars="200"/>
        <w:rPr>
          <w:rFonts w:hint="eastAsia" w:ascii="仿宋" w:hAnsi="仿宋" w:eastAsia="仿宋" w:cs="仿宋"/>
          <w:bCs/>
          <w:sz w:val="28"/>
          <w:szCs w:val="28"/>
          <w:lang w:val="ru-RU"/>
        </w:rPr>
      </w:pPr>
      <w:r>
        <w:rPr>
          <w:rFonts w:hint="eastAsia" w:ascii="仿宋" w:hAnsi="仿宋" w:eastAsia="仿宋" w:cs="仿宋"/>
          <w:bCs/>
          <w:sz w:val="28"/>
          <w:szCs w:val="28"/>
          <w:lang w:val="ru-RU"/>
        </w:rPr>
        <w:t>3.经采购单位允许，供应商可为勘察目的进入采购单位的项目现场，但供应商不得因此使采购单位承担有关的责任和蒙受损失。供应商应承担勘察现场的责任和风险。</w:t>
      </w:r>
    </w:p>
    <w:p w14:paraId="5AB5E859">
      <w:pPr>
        <w:spacing w:line="500" w:lineRule="exact"/>
        <w:ind w:firstLine="560" w:firstLineChars="200"/>
        <w:rPr>
          <w:rFonts w:hint="eastAsia" w:ascii="仿宋" w:hAnsi="仿宋" w:eastAsia="仿宋" w:cs="仿宋"/>
          <w:bCs/>
          <w:sz w:val="28"/>
          <w:szCs w:val="28"/>
          <w:lang w:val="ru-RU"/>
        </w:rPr>
      </w:pPr>
      <w:r>
        <w:rPr>
          <w:rFonts w:hint="eastAsia" w:ascii="仿宋" w:hAnsi="仿宋" w:eastAsia="仿宋" w:cs="仿宋"/>
          <w:bCs/>
          <w:sz w:val="28"/>
          <w:szCs w:val="28"/>
          <w:lang w:val="ru-RU"/>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18C9F1F1">
      <w:pPr>
        <w:spacing w:line="500" w:lineRule="exact"/>
        <w:ind w:firstLine="560" w:firstLineChars="200"/>
        <w:rPr>
          <w:rFonts w:hint="eastAsia" w:ascii="仿宋" w:hAnsi="仿宋" w:eastAsia="仿宋" w:cs="仿宋"/>
          <w:bCs/>
          <w:sz w:val="28"/>
          <w:szCs w:val="28"/>
          <w:lang w:val="ru-RU"/>
        </w:rPr>
      </w:pPr>
      <w:r>
        <w:rPr>
          <w:rFonts w:hint="eastAsia" w:ascii="仿宋" w:hAnsi="仿宋" w:eastAsia="仿宋" w:cs="仿宋"/>
          <w:bCs/>
          <w:sz w:val="28"/>
          <w:szCs w:val="28"/>
          <w:lang w:val="ru-RU"/>
        </w:rPr>
        <w:t>5.采购人不组织集中现场踏勘，请自行前往，根据施工现场情况及文件规定，自行根据可行的施工方案进行报价，结算时一律不作调整。现场勘查联系人：</w:t>
      </w:r>
      <w:r>
        <w:rPr>
          <w:rFonts w:hint="eastAsia" w:ascii="仿宋" w:hAnsi="仿宋" w:eastAsia="仿宋" w:cs="仿宋"/>
          <w:bCs/>
          <w:sz w:val="28"/>
          <w:szCs w:val="28"/>
          <w:lang w:val="en-US" w:eastAsia="zh-CN"/>
        </w:rPr>
        <w:t xml:space="preserve">徐老师 </w:t>
      </w:r>
      <w:r>
        <w:rPr>
          <w:rFonts w:hint="eastAsia" w:ascii="仿宋" w:hAnsi="仿宋" w:eastAsia="仿宋" w:cs="仿宋"/>
          <w:bCs/>
          <w:sz w:val="28"/>
          <w:szCs w:val="28"/>
          <w:lang w:val="ru-RU"/>
        </w:rPr>
        <w:t xml:space="preserve"> 联系电话：</w:t>
      </w:r>
      <w:r>
        <w:rPr>
          <w:rFonts w:hint="eastAsia" w:ascii="仿宋" w:hAnsi="仿宋" w:eastAsia="仿宋"/>
          <w:spacing w:val="7"/>
          <w:sz w:val="28"/>
          <w:szCs w:val="28"/>
          <w:highlight w:val="none"/>
        </w:rPr>
        <w:t>13773603639</w:t>
      </w:r>
    </w:p>
    <w:p w14:paraId="34762C64">
      <w:pPr>
        <w:rPr>
          <w:rFonts w:hint="eastAsia" w:ascii="仿宋" w:hAnsi="仿宋" w:eastAsia="仿宋"/>
          <w:bCs/>
          <w:sz w:val="36"/>
          <w:szCs w:val="36"/>
          <w:highlight w:val="none"/>
        </w:rPr>
      </w:pPr>
    </w:p>
    <w:p w14:paraId="273A6783">
      <w:pPr>
        <w:snapToGrid w:val="0"/>
        <w:spacing w:line="360" w:lineRule="auto"/>
        <w:jc w:val="center"/>
        <w:outlineLvl w:val="0"/>
        <w:rPr>
          <w:rFonts w:hint="eastAsia" w:ascii="仿宋" w:hAnsi="仿宋" w:eastAsia="仿宋"/>
          <w:bCs/>
          <w:sz w:val="36"/>
          <w:szCs w:val="36"/>
          <w:highlight w:val="none"/>
        </w:rPr>
      </w:pPr>
    </w:p>
    <w:p w14:paraId="597E983E">
      <w:pPr>
        <w:snapToGrid w:val="0"/>
        <w:spacing w:line="360" w:lineRule="auto"/>
        <w:jc w:val="center"/>
        <w:outlineLvl w:val="0"/>
        <w:rPr>
          <w:rFonts w:hint="eastAsia" w:ascii="仿宋" w:hAnsi="仿宋" w:eastAsia="仿宋"/>
          <w:bCs/>
          <w:sz w:val="36"/>
          <w:szCs w:val="36"/>
          <w:highlight w:val="none"/>
        </w:rPr>
      </w:pPr>
    </w:p>
    <w:p w14:paraId="0BB6CC91">
      <w:pPr>
        <w:snapToGrid w:val="0"/>
        <w:spacing w:line="360" w:lineRule="auto"/>
        <w:jc w:val="center"/>
        <w:outlineLvl w:val="0"/>
        <w:rPr>
          <w:rFonts w:hint="eastAsia" w:ascii="仿宋" w:hAnsi="仿宋" w:eastAsia="仿宋"/>
          <w:bCs/>
          <w:sz w:val="36"/>
          <w:szCs w:val="36"/>
          <w:highlight w:val="none"/>
        </w:rPr>
      </w:pPr>
    </w:p>
    <w:p w14:paraId="3D8D8726">
      <w:pPr>
        <w:snapToGrid w:val="0"/>
        <w:spacing w:line="360" w:lineRule="auto"/>
        <w:jc w:val="center"/>
        <w:outlineLvl w:val="0"/>
        <w:rPr>
          <w:rFonts w:hint="eastAsia" w:ascii="仿宋" w:hAnsi="仿宋" w:eastAsia="仿宋"/>
          <w:bCs/>
          <w:sz w:val="36"/>
          <w:szCs w:val="36"/>
          <w:highlight w:val="none"/>
        </w:rPr>
      </w:pPr>
    </w:p>
    <w:p w14:paraId="5C681DFB">
      <w:pPr>
        <w:snapToGrid w:val="0"/>
        <w:spacing w:line="360" w:lineRule="auto"/>
        <w:jc w:val="center"/>
        <w:outlineLvl w:val="0"/>
        <w:rPr>
          <w:rFonts w:hint="eastAsia" w:ascii="仿宋" w:hAnsi="仿宋" w:eastAsia="仿宋"/>
          <w:bCs/>
          <w:sz w:val="36"/>
          <w:szCs w:val="36"/>
          <w:highlight w:val="none"/>
        </w:rPr>
      </w:pPr>
    </w:p>
    <w:p w14:paraId="1E51B2EB">
      <w:pPr>
        <w:snapToGrid w:val="0"/>
        <w:spacing w:line="360" w:lineRule="auto"/>
        <w:jc w:val="center"/>
        <w:outlineLvl w:val="0"/>
        <w:rPr>
          <w:rFonts w:hint="eastAsia" w:ascii="仿宋" w:hAnsi="仿宋" w:eastAsia="仿宋"/>
          <w:bCs/>
          <w:sz w:val="36"/>
          <w:szCs w:val="36"/>
          <w:highlight w:val="none"/>
        </w:rPr>
      </w:pPr>
    </w:p>
    <w:p w14:paraId="3ED6C68E">
      <w:pPr>
        <w:snapToGrid w:val="0"/>
        <w:spacing w:line="360" w:lineRule="auto"/>
        <w:jc w:val="center"/>
        <w:outlineLvl w:val="0"/>
        <w:rPr>
          <w:rFonts w:hint="eastAsia" w:ascii="仿宋" w:hAnsi="仿宋" w:eastAsia="仿宋"/>
          <w:bCs/>
          <w:sz w:val="36"/>
          <w:szCs w:val="36"/>
          <w:highlight w:val="none"/>
        </w:rPr>
      </w:pPr>
    </w:p>
    <w:p w14:paraId="0BD79135">
      <w:pPr>
        <w:snapToGrid w:val="0"/>
        <w:spacing w:line="360" w:lineRule="auto"/>
        <w:jc w:val="center"/>
        <w:outlineLvl w:val="0"/>
        <w:rPr>
          <w:rFonts w:hint="eastAsia" w:ascii="仿宋" w:hAnsi="仿宋" w:eastAsia="仿宋"/>
          <w:bCs/>
          <w:sz w:val="36"/>
          <w:szCs w:val="36"/>
          <w:highlight w:val="none"/>
        </w:rPr>
      </w:pPr>
    </w:p>
    <w:p w14:paraId="54BCD1E9">
      <w:pPr>
        <w:snapToGrid w:val="0"/>
        <w:spacing w:line="360" w:lineRule="auto"/>
        <w:jc w:val="center"/>
        <w:outlineLvl w:val="0"/>
        <w:rPr>
          <w:rFonts w:hint="eastAsia" w:ascii="仿宋" w:hAnsi="仿宋" w:eastAsia="仿宋"/>
          <w:bCs/>
          <w:sz w:val="36"/>
          <w:szCs w:val="36"/>
          <w:highlight w:val="none"/>
        </w:rPr>
      </w:pPr>
    </w:p>
    <w:p w14:paraId="602CF674">
      <w:pPr>
        <w:snapToGrid w:val="0"/>
        <w:spacing w:line="360" w:lineRule="auto"/>
        <w:jc w:val="center"/>
        <w:outlineLvl w:val="0"/>
        <w:rPr>
          <w:rFonts w:hint="eastAsia" w:ascii="仿宋" w:hAnsi="仿宋" w:eastAsia="仿宋"/>
          <w:bCs/>
          <w:sz w:val="36"/>
          <w:szCs w:val="36"/>
          <w:highlight w:val="none"/>
        </w:rPr>
      </w:pPr>
    </w:p>
    <w:p w14:paraId="14A52B6A">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t>第四部分 评审方法和评审标准</w:t>
      </w:r>
    </w:p>
    <w:p w14:paraId="1DAAB9EC">
      <w:pPr>
        <w:snapToGrid w:val="0"/>
        <w:spacing w:line="460" w:lineRule="exact"/>
        <w:ind w:firstLine="562" w:firstLineChars="200"/>
        <w:jc w:val="left"/>
        <w:outlineLvl w:val="1"/>
        <w:rPr>
          <w:rFonts w:ascii="仿宋" w:hAnsi="仿宋" w:eastAsia="仿宋"/>
          <w:b/>
          <w:sz w:val="28"/>
          <w:szCs w:val="28"/>
          <w:highlight w:val="none"/>
        </w:rPr>
      </w:pPr>
      <w:r>
        <w:rPr>
          <w:rFonts w:hint="eastAsia" w:ascii="仿宋" w:hAnsi="仿宋" w:eastAsia="仿宋"/>
          <w:b/>
          <w:sz w:val="28"/>
          <w:szCs w:val="28"/>
          <w:highlight w:val="none"/>
        </w:rPr>
        <w:t>一、</w:t>
      </w:r>
      <w:r>
        <w:rPr>
          <w:rFonts w:hint="eastAsia" w:ascii="仿宋" w:hAnsi="仿宋" w:eastAsia="仿宋"/>
          <w:bCs/>
          <w:sz w:val="28"/>
          <w:szCs w:val="28"/>
          <w:highlight w:val="none"/>
        </w:rPr>
        <w:t>磋商方式</w:t>
      </w:r>
    </w:p>
    <w:p w14:paraId="32B7494C">
      <w:pPr>
        <w:tabs>
          <w:tab w:val="left" w:pos="3585"/>
        </w:tabs>
        <w:snapToGrid w:val="0"/>
        <w:spacing w:line="460" w:lineRule="exact"/>
        <w:ind w:firstLine="537" w:firstLineChars="192"/>
        <w:rPr>
          <w:rFonts w:ascii="仿宋" w:hAnsi="仿宋" w:eastAsia="仿宋"/>
          <w:sz w:val="28"/>
          <w:szCs w:val="28"/>
          <w:highlight w:val="none"/>
        </w:rPr>
      </w:pPr>
      <w:r>
        <w:rPr>
          <w:rFonts w:hint="eastAsia" w:ascii="仿宋" w:hAnsi="仿宋" w:eastAsia="仿宋"/>
          <w:sz w:val="28"/>
          <w:szCs w:val="28"/>
          <w:highlight w:val="none"/>
        </w:rPr>
        <w:t>见面磋商模式：供应商在采购文件规定的时间和地点参加磋商活动。</w:t>
      </w:r>
    </w:p>
    <w:p w14:paraId="02BC5C30">
      <w:pPr>
        <w:snapToGrid w:val="0"/>
        <w:spacing w:line="460" w:lineRule="exact"/>
        <w:ind w:firstLine="562" w:firstLineChars="200"/>
        <w:jc w:val="left"/>
        <w:outlineLvl w:val="1"/>
        <w:rPr>
          <w:rFonts w:ascii="仿宋" w:hAnsi="仿宋" w:eastAsia="仿宋"/>
          <w:b/>
          <w:sz w:val="28"/>
          <w:szCs w:val="28"/>
          <w:highlight w:val="none"/>
        </w:rPr>
      </w:pPr>
      <w:r>
        <w:rPr>
          <w:rFonts w:hint="eastAsia" w:ascii="仿宋" w:hAnsi="仿宋" w:eastAsia="仿宋"/>
          <w:b/>
          <w:sz w:val="28"/>
          <w:szCs w:val="28"/>
          <w:highlight w:val="none"/>
        </w:rPr>
        <w:t>二、</w:t>
      </w:r>
      <w:r>
        <w:rPr>
          <w:rFonts w:hint="eastAsia" w:ascii="仿宋" w:hAnsi="仿宋" w:eastAsia="仿宋"/>
          <w:sz w:val="28"/>
          <w:szCs w:val="28"/>
          <w:highlight w:val="none"/>
        </w:rPr>
        <w:t>磋商程序及评审方法和标准</w:t>
      </w:r>
    </w:p>
    <w:p w14:paraId="742FCC7C">
      <w:pPr>
        <w:snapToGrid w:val="0"/>
        <w:spacing w:line="460" w:lineRule="exact"/>
        <w:ind w:firstLine="691" w:firstLineChars="247"/>
        <w:rPr>
          <w:rFonts w:ascii="仿宋" w:hAnsi="仿宋" w:eastAsia="仿宋"/>
          <w:bCs/>
          <w:sz w:val="28"/>
          <w:szCs w:val="28"/>
          <w:highlight w:val="none"/>
        </w:rPr>
      </w:pPr>
      <w:r>
        <w:rPr>
          <w:rFonts w:hint="eastAsia" w:ascii="仿宋" w:hAnsi="仿宋" w:eastAsia="仿宋"/>
          <w:bCs/>
          <w:sz w:val="28"/>
          <w:szCs w:val="28"/>
          <w:highlight w:val="none"/>
        </w:rPr>
        <w:t>1.评审方法：综合评分法，经磋商确定最终采购需求和提交最后报价的供应商后，由磋商小组采用综合评分法对提交最后报价的供应商的响应文件和最后报价进行综合评分。</w:t>
      </w:r>
    </w:p>
    <w:p w14:paraId="24A1594C">
      <w:pPr>
        <w:snapToGrid w:val="0"/>
        <w:spacing w:line="460" w:lineRule="exact"/>
        <w:ind w:firstLine="700" w:firstLineChars="250"/>
        <w:rPr>
          <w:rFonts w:ascii="仿宋" w:hAnsi="仿宋" w:eastAsia="仿宋"/>
          <w:bCs/>
          <w:sz w:val="28"/>
          <w:szCs w:val="28"/>
          <w:highlight w:val="none"/>
        </w:rPr>
      </w:pPr>
      <w:r>
        <w:rPr>
          <w:rFonts w:hint="eastAsia" w:ascii="仿宋" w:hAnsi="仿宋" w:eastAsia="仿宋"/>
          <w:bCs/>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3AFFC2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686A4BF7">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最后报价是供应商响应文件的有效组成部分，提交最后报价的供应商不得少于3家。</w:t>
      </w:r>
    </w:p>
    <w:p w14:paraId="45C8E293">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供应商商务、技术部分和价格部分的合计分值，为该供应商的评审总得分。</w:t>
      </w:r>
    </w:p>
    <w:p w14:paraId="28FF0C5B">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214AC94E">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评委在认真审阅响应文件的基础上，根据各响应文件的响应程度独立评判，不得统一打分。</w:t>
      </w:r>
    </w:p>
    <w:p w14:paraId="2013CF14">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技术商务部分评审结束后，再开启最后报价计算分值。总分值为100分，加分和减分因素除外。</w:t>
      </w:r>
    </w:p>
    <w:p w14:paraId="1F9E1C60">
      <w:pPr>
        <w:snapToGrid w:val="0"/>
        <w:spacing w:line="460" w:lineRule="exact"/>
        <w:ind w:firstLine="579" w:firstLineChars="206"/>
        <w:outlineLvl w:val="2"/>
        <w:rPr>
          <w:rFonts w:ascii="仿宋" w:hAnsi="仿宋" w:eastAsia="仿宋"/>
          <w:b/>
          <w:sz w:val="28"/>
          <w:szCs w:val="28"/>
          <w:highlight w:val="none"/>
        </w:rPr>
      </w:pPr>
      <w:r>
        <w:rPr>
          <w:rFonts w:hint="eastAsia" w:ascii="仿宋" w:hAnsi="仿宋" w:eastAsia="仿宋"/>
          <w:b/>
          <w:sz w:val="28"/>
          <w:szCs w:val="28"/>
          <w:highlight w:val="none"/>
        </w:rPr>
        <w:t>（一）采购人（代表）对供应商资格进行审查。</w:t>
      </w:r>
    </w:p>
    <w:p w14:paraId="4C0FB23A">
      <w:pPr>
        <w:snapToGrid w:val="0"/>
        <w:spacing w:line="460" w:lineRule="exact"/>
        <w:ind w:firstLine="576" w:firstLineChars="206"/>
        <w:rPr>
          <w:rFonts w:ascii="仿宋" w:hAnsi="仿宋" w:eastAsia="仿宋"/>
          <w:kern w:val="0"/>
          <w:sz w:val="28"/>
          <w:szCs w:val="28"/>
          <w:highlight w:val="none"/>
        </w:rPr>
      </w:pPr>
      <w:r>
        <w:rPr>
          <w:rFonts w:hint="eastAsia" w:ascii="仿宋" w:hAnsi="仿宋" w:eastAsia="仿宋"/>
          <w:kern w:val="0"/>
          <w:sz w:val="28"/>
          <w:szCs w:val="28"/>
          <w:highlight w:val="none"/>
        </w:rPr>
        <w:t>供应商资格不合格的，其响应文件判定为无效响应文件。</w:t>
      </w:r>
    </w:p>
    <w:p w14:paraId="5B1FC1DC">
      <w:pPr>
        <w:snapToGrid w:val="0"/>
        <w:spacing w:line="460" w:lineRule="exact"/>
        <w:ind w:firstLine="579" w:firstLineChars="206"/>
        <w:outlineLvl w:val="2"/>
        <w:rPr>
          <w:rFonts w:ascii="仿宋" w:hAnsi="仿宋" w:eastAsia="仿宋"/>
          <w:b/>
          <w:sz w:val="28"/>
          <w:szCs w:val="28"/>
          <w:highlight w:val="none"/>
        </w:rPr>
      </w:pPr>
      <w:r>
        <w:rPr>
          <w:rFonts w:hint="eastAsia" w:ascii="仿宋" w:hAnsi="仿宋" w:eastAsia="仿宋"/>
          <w:b/>
          <w:sz w:val="28"/>
          <w:szCs w:val="28"/>
          <w:highlight w:val="none"/>
        </w:rPr>
        <w:t>（二）磋商小组对符合资格供应商的响应文件进行符合性审查。</w:t>
      </w:r>
    </w:p>
    <w:p w14:paraId="0FA785F9">
      <w:pPr>
        <w:snapToGrid w:val="0"/>
        <w:spacing w:line="460" w:lineRule="exact"/>
        <w:ind w:firstLine="576" w:firstLineChars="206"/>
        <w:rPr>
          <w:rFonts w:ascii="仿宋" w:hAnsi="仿宋" w:eastAsia="仿宋"/>
          <w:kern w:val="0"/>
          <w:sz w:val="28"/>
          <w:szCs w:val="28"/>
          <w:highlight w:val="none"/>
        </w:rPr>
      </w:pPr>
      <w:r>
        <w:rPr>
          <w:rFonts w:hint="eastAsia" w:ascii="仿宋" w:hAnsi="仿宋" w:eastAsia="仿宋"/>
          <w:kern w:val="0"/>
          <w:sz w:val="28"/>
          <w:szCs w:val="28"/>
          <w:highlight w:val="none"/>
        </w:rPr>
        <w:t xml:space="preserve">未通过符合性审查的响应文件，将被判为不满足磋商文件实质性要求。 </w:t>
      </w:r>
    </w:p>
    <w:p w14:paraId="60175A8B">
      <w:pPr>
        <w:snapToGrid w:val="0"/>
        <w:spacing w:line="460" w:lineRule="exact"/>
        <w:ind w:firstLine="560" w:firstLineChars="200"/>
        <w:jc w:val="left"/>
        <w:outlineLvl w:val="2"/>
        <w:rPr>
          <w:rFonts w:ascii="仿宋" w:hAnsi="仿宋" w:eastAsia="仿宋"/>
          <w:sz w:val="28"/>
          <w:szCs w:val="28"/>
          <w:highlight w:val="none"/>
          <w:lang w:val="zh-CN"/>
        </w:rPr>
      </w:pPr>
      <w:r>
        <w:rPr>
          <w:rFonts w:hint="eastAsia" w:ascii="仿宋" w:hAnsi="仿宋" w:eastAsia="仿宋"/>
          <w:sz w:val="28"/>
          <w:szCs w:val="28"/>
          <w:highlight w:val="none"/>
          <w:lang w:val="zh-CN"/>
        </w:rPr>
        <w:t>（三）商务技术分：</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0</w:t>
      </w:r>
      <w:r>
        <w:rPr>
          <w:rFonts w:hint="eastAsia" w:ascii="仿宋" w:hAnsi="仿宋" w:eastAsia="仿宋"/>
          <w:sz w:val="28"/>
          <w:szCs w:val="28"/>
          <w:highlight w:val="none"/>
          <w:lang w:val="zh-CN"/>
        </w:rPr>
        <w:t>分</w:t>
      </w:r>
    </w:p>
    <w:tbl>
      <w:tblPr>
        <w:tblStyle w:val="9"/>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99"/>
        <w:gridCol w:w="884"/>
        <w:gridCol w:w="6151"/>
      </w:tblGrid>
      <w:tr w14:paraId="5659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3" w:type="pct"/>
            <w:vAlign w:val="center"/>
          </w:tcPr>
          <w:p w14:paraId="10CFC939">
            <w:pPr>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625" w:type="pct"/>
            <w:vAlign w:val="center"/>
          </w:tcPr>
          <w:p w14:paraId="44D41D03">
            <w:pPr>
              <w:spacing w:line="38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评审项目</w:t>
            </w:r>
          </w:p>
        </w:tc>
        <w:tc>
          <w:tcPr>
            <w:tcW w:w="502" w:type="pct"/>
            <w:vAlign w:val="center"/>
          </w:tcPr>
          <w:p w14:paraId="3DBDF176">
            <w:pPr>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标准分</w:t>
            </w:r>
          </w:p>
        </w:tc>
        <w:tc>
          <w:tcPr>
            <w:tcW w:w="3498" w:type="pct"/>
            <w:vAlign w:val="center"/>
          </w:tcPr>
          <w:p w14:paraId="034157BE">
            <w:pPr>
              <w:spacing w:line="38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评分标准</w:t>
            </w:r>
          </w:p>
        </w:tc>
      </w:tr>
      <w:tr w14:paraId="12FB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373" w:type="pct"/>
            <w:vAlign w:val="center"/>
          </w:tcPr>
          <w:p w14:paraId="6A2BF00D">
            <w:pPr>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625" w:type="pct"/>
            <w:vAlign w:val="center"/>
          </w:tcPr>
          <w:p w14:paraId="33FA7B53">
            <w:pPr>
              <w:tabs>
                <w:tab w:val="right" w:leader="dot" w:pos="8096"/>
              </w:tabs>
              <w:adjustRightInd w:val="0"/>
              <w:snapToGrid w:val="0"/>
              <w:spacing w:line="38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产品功能、性能、配置</w:t>
            </w:r>
          </w:p>
        </w:tc>
        <w:tc>
          <w:tcPr>
            <w:tcW w:w="502" w:type="pct"/>
            <w:vAlign w:val="center"/>
          </w:tcPr>
          <w:p w14:paraId="0D8A4B7C">
            <w:pPr>
              <w:tabs>
                <w:tab w:val="right" w:leader="dot" w:pos="8096"/>
              </w:tabs>
              <w:adjustRightInd w:val="0"/>
              <w:snapToGrid w:val="0"/>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40分</w:t>
            </w:r>
          </w:p>
        </w:tc>
        <w:tc>
          <w:tcPr>
            <w:tcW w:w="3498" w:type="pct"/>
            <w:vAlign w:val="center"/>
          </w:tcPr>
          <w:p w14:paraId="6EC65340">
            <w:pPr>
              <w:pStyle w:val="128"/>
              <w:keepNext w:val="0"/>
              <w:keepLines w:val="0"/>
              <w:pageBreakBefore w:val="0"/>
              <w:widowControl w:val="0"/>
              <w:numPr>
                <w:ilvl w:val="2"/>
                <w:numId w:val="0"/>
              </w:numPr>
              <w:tabs>
                <w:tab w:val="left" w:pos="567"/>
              </w:tabs>
              <w:kinsoku/>
              <w:wordWrap/>
              <w:overflowPunct/>
              <w:topLinePunct w:val="0"/>
              <w:autoSpaceDE/>
              <w:autoSpaceDN/>
              <w:bidi w:val="0"/>
              <w:adjustRightInd/>
              <w:snapToGrid/>
              <w:spacing w:beforeLines="0" w:line="360" w:lineRule="auto"/>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所提供的设备参数全部满足或高于招标文件基本要求的得最高分40分。设备产品带▲参数每负偏离一项扣3分，其他的参数每负偏离一项扣1分，扣完该项分值为止（注：所有标▲技术参数需按要求提供证明材料，投标时提供证书复印件并加盖投标供应商公章，成交后核验加盖厂商公章的佐证材料）</w:t>
            </w:r>
          </w:p>
        </w:tc>
      </w:tr>
      <w:tr w14:paraId="7B8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373" w:type="pct"/>
            <w:vAlign w:val="center"/>
          </w:tcPr>
          <w:p w14:paraId="003147DF">
            <w:pPr>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625" w:type="pct"/>
            <w:vAlign w:val="center"/>
          </w:tcPr>
          <w:p w14:paraId="2EBF246E">
            <w:pPr>
              <w:tabs>
                <w:tab w:val="right" w:leader="dot" w:pos="8096"/>
              </w:tabs>
              <w:adjustRightInd w:val="0"/>
              <w:snapToGrid w:val="0"/>
              <w:spacing w:line="38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产品质量</w:t>
            </w:r>
          </w:p>
        </w:tc>
        <w:tc>
          <w:tcPr>
            <w:tcW w:w="502" w:type="pct"/>
            <w:vAlign w:val="center"/>
          </w:tcPr>
          <w:p w14:paraId="59D1DFC9">
            <w:pPr>
              <w:tabs>
                <w:tab w:val="right" w:leader="dot" w:pos="8096"/>
              </w:tabs>
              <w:adjustRightInd w:val="0"/>
              <w:snapToGrid w:val="0"/>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highlight w:val="none"/>
                <w:lang w:val="en-US" w:eastAsia="zh-CN"/>
              </w:rPr>
              <w:t>4</w:t>
            </w:r>
          </w:p>
        </w:tc>
        <w:tc>
          <w:tcPr>
            <w:tcW w:w="3498" w:type="pct"/>
            <w:vAlign w:val="center"/>
          </w:tcPr>
          <w:p w14:paraId="6F0CF4D1">
            <w:pPr>
              <w:pStyle w:val="128"/>
              <w:numPr>
                <w:ilvl w:val="2"/>
                <w:numId w:val="0"/>
              </w:numPr>
              <w:tabs>
                <w:tab w:val="left" w:pos="567"/>
              </w:tabs>
              <w:spacing w:beforeLines="0" w:line="360" w:lineRule="auto"/>
              <w:jc w:val="left"/>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1、安全电箱产品制造商拟投产品（漏电、断路器）具有相关发明专利或实用型专利证书（不包括外观专利）得2分，（提供证书复印件加盖获证企业公章，未提供不得分）</w:t>
            </w:r>
          </w:p>
          <w:p w14:paraId="2FF9ABEB">
            <w:pPr>
              <w:pStyle w:val="128"/>
              <w:numPr>
                <w:ilvl w:val="2"/>
                <w:numId w:val="0"/>
              </w:numPr>
              <w:tabs>
                <w:tab w:val="left" w:pos="567"/>
              </w:tabs>
              <w:spacing w:beforeLines="0" w:line="360" w:lineRule="auto"/>
              <w:jc w:val="left"/>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2.安全电箱产品制造商具有获奖证书，得2分，（提供证书复印件加盖获证企业公章，未提供不得分）</w:t>
            </w:r>
          </w:p>
        </w:tc>
      </w:tr>
      <w:tr w14:paraId="27D3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373" w:type="pct"/>
            <w:vAlign w:val="center"/>
          </w:tcPr>
          <w:p w14:paraId="71F709C6">
            <w:pPr>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625" w:type="pct"/>
            <w:vAlign w:val="center"/>
          </w:tcPr>
          <w:p w14:paraId="77E7D0D1">
            <w:pPr>
              <w:tabs>
                <w:tab w:val="right" w:leader="dot" w:pos="8096"/>
              </w:tabs>
              <w:adjustRightInd w:val="0"/>
              <w:snapToGrid w:val="0"/>
              <w:spacing w:line="380" w:lineRule="exact"/>
              <w:jc w:val="both"/>
              <w:rPr>
                <w:rFonts w:hint="eastAsia" w:ascii="仿宋" w:hAnsi="仿宋" w:eastAsia="仿宋" w:cs="仿宋"/>
                <w:b w:val="0"/>
                <w:bCs w:val="0"/>
                <w:sz w:val="24"/>
                <w:szCs w:val="24"/>
                <w:lang w:val="en-US" w:eastAsia="zh-CN"/>
              </w:rPr>
            </w:pPr>
            <w:bookmarkStart w:id="93" w:name="_GoBack"/>
            <w:bookmarkEnd w:id="93"/>
            <w:r>
              <w:rPr>
                <w:rFonts w:hint="eastAsia" w:ascii="仿宋" w:hAnsi="仿宋" w:eastAsia="仿宋" w:cs="仿宋"/>
                <w:b w:val="0"/>
                <w:bCs w:val="0"/>
                <w:sz w:val="24"/>
                <w:szCs w:val="24"/>
                <w:lang w:val="en-US" w:eastAsia="zh-CN"/>
              </w:rPr>
              <w:t>单位实力</w:t>
            </w:r>
          </w:p>
        </w:tc>
        <w:tc>
          <w:tcPr>
            <w:tcW w:w="502" w:type="pct"/>
            <w:vAlign w:val="center"/>
          </w:tcPr>
          <w:p w14:paraId="4D6AD152">
            <w:pPr>
              <w:tabs>
                <w:tab w:val="right" w:leader="dot" w:pos="8096"/>
              </w:tabs>
              <w:adjustRightInd w:val="0"/>
              <w:snapToGrid w:val="0"/>
              <w:spacing w:line="380" w:lineRule="exact"/>
              <w:jc w:val="center"/>
              <w:rPr>
                <w:rFonts w:hint="eastAsia"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highlight w:val="none"/>
                <w:lang w:val="en-US" w:eastAsia="zh-CN"/>
              </w:rPr>
              <w:t>8</w:t>
            </w:r>
          </w:p>
        </w:tc>
        <w:tc>
          <w:tcPr>
            <w:tcW w:w="3498" w:type="pct"/>
            <w:vAlign w:val="center"/>
          </w:tcPr>
          <w:p w14:paraId="5DB2FCF4">
            <w:pPr>
              <w:pStyle w:val="128"/>
              <w:numPr>
                <w:ilvl w:val="2"/>
                <w:numId w:val="0"/>
              </w:numPr>
              <w:tabs>
                <w:tab w:val="left" w:pos="567"/>
              </w:tabs>
              <w:spacing w:beforeLines="0" w:line="360" w:lineRule="auto"/>
              <w:jc w:val="left"/>
              <w:rPr>
                <w:rFonts w:hint="eastAsia" w:ascii="仿宋" w:hAnsi="仿宋" w:eastAsia="仿宋" w:cs="仿宋"/>
                <w:b w:val="0"/>
                <w:bCs/>
                <w:kern w:val="0"/>
                <w:sz w:val="24"/>
                <w:szCs w:val="24"/>
              </w:rPr>
            </w:pPr>
            <w:r>
              <w:rPr>
                <w:rFonts w:hint="eastAsia" w:ascii="仿宋" w:hAnsi="仿宋" w:eastAsia="仿宋" w:cs="仿宋"/>
                <w:b w:val="0"/>
                <w:bCs/>
                <w:color w:val="000000"/>
                <w:kern w:val="0"/>
                <w:sz w:val="24"/>
                <w:szCs w:val="24"/>
                <w:lang w:bidi="ar"/>
              </w:rPr>
              <w:t>1、投标单位</w:t>
            </w:r>
            <w:r>
              <w:rPr>
                <w:rFonts w:hint="eastAsia" w:ascii="仿宋" w:hAnsi="仿宋" w:eastAsia="仿宋" w:cs="仿宋"/>
                <w:b w:val="0"/>
                <w:bCs/>
                <w:kern w:val="0"/>
                <w:sz w:val="24"/>
                <w:szCs w:val="24"/>
              </w:rPr>
              <w:t>具有有效期内的质量管理体系认证证书、职业健康安全管理体系认证证书，环境管理体系认证证书的，每提供1个得1分，最高得3分（提供全国认证认可信息公共服务平台的查询页面截图，否则不得分）</w:t>
            </w:r>
          </w:p>
          <w:p w14:paraId="6BBEAC19">
            <w:pPr>
              <w:pStyle w:val="128"/>
              <w:numPr>
                <w:ilvl w:val="2"/>
                <w:numId w:val="0"/>
              </w:numPr>
              <w:tabs>
                <w:tab w:val="left" w:pos="567"/>
              </w:tabs>
              <w:spacing w:beforeLines="0" w:line="360" w:lineRule="auto"/>
              <w:jc w:val="left"/>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2、投标单位具有安全生产许可证，得3分，不提供不得分</w:t>
            </w:r>
          </w:p>
          <w:p w14:paraId="6693A15E">
            <w:pPr>
              <w:pStyle w:val="128"/>
              <w:numPr>
                <w:ilvl w:val="2"/>
                <w:numId w:val="0"/>
              </w:numPr>
              <w:tabs>
                <w:tab w:val="left" w:pos="567"/>
              </w:tabs>
              <w:spacing w:beforeLines="0" w:line="360" w:lineRule="auto"/>
              <w:jc w:val="left"/>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3、</w:t>
            </w:r>
            <w:r>
              <w:rPr>
                <w:rFonts w:hint="eastAsia" w:ascii="仿宋" w:hAnsi="仿宋" w:eastAsia="仿宋" w:cs="仿宋"/>
                <w:b w:val="0"/>
                <w:bCs/>
                <w:color w:val="000000"/>
                <w:kern w:val="0"/>
                <w:sz w:val="24"/>
                <w:szCs w:val="24"/>
                <w:lang w:bidi="ar"/>
              </w:rPr>
              <w:t>投标单位提供202</w:t>
            </w:r>
            <w:r>
              <w:rPr>
                <w:rFonts w:hint="eastAsia" w:ascii="仿宋" w:hAnsi="仿宋" w:eastAsia="仿宋" w:cs="仿宋"/>
                <w:b w:val="0"/>
                <w:bCs/>
                <w:color w:val="000000"/>
                <w:kern w:val="0"/>
                <w:sz w:val="24"/>
                <w:szCs w:val="24"/>
                <w:lang w:val="en-US" w:eastAsia="zh-CN" w:bidi="ar"/>
              </w:rPr>
              <w:t>2</w:t>
            </w:r>
            <w:r>
              <w:rPr>
                <w:rFonts w:hint="eastAsia" w:ascii="仿宋" w:hAnsi="仿宋" w:eastAsia="仿宋" w:cs="仿宋"/>
                <w:b w:val="0"/>
                <w:bCs/>
                <w:color w:val="000000"/>
                <w:kern w:val="0"/>
                <w:sz w:val="24"/>
                <w:szCs w:val="24"/>
                <w:lang w:bidi="ar"/>
              </w:rPr>
              <w:t>年以来类似实验实训室项目业绩，包含实验室改造、实验设备采购、多媒体设备采购等，提供一份得1分，最多2分，不提供不得分（须同时提供①项目合同、②中标（成交）通知书扫描件或中标（成交）结果公告截图，上述缺一不可）</w:t>
            </w:r>
          </w:p>
        </w:tc>
      </w:tr>
      <w:tr w14:paraId="48E6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373" w:type="pct"/>
            <w:vAlign w:val="center"/>
          </w:tcPr>
          <w:p w14:paraId="1E38411B">
            <w:pPr>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625" w:type="pct"/>
            <w:vAlign w:val="center"/>
          </w:tcPr>
          <w:p w14:paraId="7B6CC95B">
            <w:pPr>
              <w:tabs>
                <w:tab w:val="right" w:leader="dot" w:pos="8096"/>
              </w:tabs>
              <w:adjustRightInd w:val="0"/>
              <w:snapToGrid w:val="0"/>
              <w:spacing w:line="38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技术方案</w:t>
            </w:r>
          </w:p>
        </w:tc>
        <w:tc>
          <w:tcPr>
            <w:tcW w:w="502" w:type="pct"/>
            <w:vAlign w:val="center"/>
          </w:tcPr>
          <w:p w14:paraId="11E921B4">
            <w:pPr>
              <w:tabs>
                <w:tab w:val="right" w:leader="dot" w:pos="8096"/>
              </w:tabs>
              <w:adjustRightInd w:val="0"/>
              <w:snapToGrid w:val="0"/>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12分</w:t>
            </w:r>
          </w:p>
        </w:tc>
        <w:tc>
          <w:tcPr>
            <w:tcW w:w="3498" w:type="pct"/>
            <w:vAlign w:val="center"/>
          </w:tcPr>
          <w:p w14:paraId="4DFDF0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1.供货组织及安装（2分）：</w:t>
            </w:r>
            <w:r>
              <w:rPr>
                <w:rFonts w:hint="eastAsia" w:ascii="仿宋" w:hAnsi="仿宋" w:eastAsia="仿宋" w:cs="仿宋"/>
                <w:b w:val="0"/>
                <w:bCs w:val="0"/>
                <w:sz w:val="24"/>
                <w:szCs w:val="24"/>
                <w:highlight w:val="none"/>
                <w:lang w:val="zh-CN" w:eastAsia="zh-CN"/>
              </w:rPr>
              <w:t>方案内容完整、合理、可行性强、针对性强，得</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lang w:val="zh-CN" w:eastAsia="zh-CN"/>
              </w:rPr>
              <w:t>分；方案内容</w:t>
            </w:r>
            <w:r>
              <w:rPr>
                <w:rFonts w:hint="eastAsia" w:ascii="仿宋" w:hAnsi="仿宋" w:eastAsia="仿宋" w:cs="仿宋"/>
                <w:b w:val="0"/>
                <w:bCs w:val="0"/>
                <w:sz w:val="24"/>
                <w:szCs w:val="24"/>
                <w:highlight w:val="none"/>
                <w:lang w:val="en-US" w:eastAsia="zh-CN"/>
              </w:rPr>
              <w:t>有</w:t>
            </w:r>
            <w:r>
              <w:rPr>
                <w:rFonts w:hint="eastAsia" w:ascii="仿宋" w:hAnsi="仿宋" w:eastAsia="仿宋" w:cs="仿宋"/>
                <w:b w:val="0"/>
                <w:bCs w:val="0"/>
                <w:sz w:val="24"/>
                <w:szCs w:val="24"/>
                <w:highlight w:val="none"/>
                <w:lang w:val="zh-CN" w:eastAsia="zh-CN"/>
              </w:rPr>
              <w:t>缺陷、欠科学、欠合理、针对性不足，得</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lang w:val="zh-CN" w:eastAsia="zh-CN"/>
              </w:rPr>
              <w:t>分；方案内容</w:t>
            </w:r>
            <w:r>
              <w:rPr>
                <w:rFonts w:hint="eastAsia" w:ascii="仿宋" w:hAnsi="仿宋" w:eastAsia="仿宋" w:cs="仿宋"/>
                <w:b w:val="0"/>
                <w:bCs w:val="0"/>
                <w:sz w:val="24"/>
                <w:szCs w:val="24"/>
                <w:highlight w:val="none"/>
                <w:lang w:val="en-US" w:eastAsia="zh-CN"/>
              </w:rPr>
              <w:t>有</w:t>
            </w:r>
            <w:r>
              <w:rPr>
                <w:rFonts w:hint="eastAsia" w:ascii="仿宋" w:hAnsi="仿宋" w:eastAsia="仿宋" w:cs="仿宋"/>
                <w:b w:val="0"/>
                <w:bCs w:val="0"/>
                <w:sz w:val="24"/>
                <w:szCs w:val="24"/>
                <w:highlight w:val="none"/>
                <w:lang w:val="zh-CN" w:eastAsia="zh-CN"/>
              </w:rPr>
              <w:t>严重缺陷、无针对性或不提供的不得分。</w:t>
            </w:r>
          </w:p>
          <w:p w14:paraId="36CB9D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2.方案设计（8分）：投标单位根据勘测情况，自行设计教室平面规划图纸，针对性强，符合现场实际情况，科学合理得8分，规划情况一般，还需改进得4分，不符合实际需求，实施难度大或未提供图纸的不得分。</w:t>
            </w:r>
          </w:p>
          <w:p w14:paraId="086CEF54">
            <w:pPr>
              <w:pStyle w:val="128"/>
              <w:keepNext w:val="0"/>
              <w:keepLines w:val="0"/>
              <w:pageBreakBefore w:val="0"/>
              <w:numPr>
                <w:ilvl w:val="2"/>
                <w:numId w:val="0"/>
              </w:numPr>
              <w:tabs>
                <w:tab w:val="left" w:pos="567"/>
              </w:tabs>
              <w:kinsoku/>
              <w:wordWrap/>
              <w:overflowPunct/>
              <w:topLinePunct w:val="0"/>
              <w:autoSpaceDE/>
              <w:autoSpaceDN/>
              <w:bidi w:val="0"/>
              <w:adjustRightInd/>
              <w:snapToGrid/>
              <w:spacing w:beforeLines="0"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z w:val="24"/>
                <w:szCs w:val="24"/>
                <w:highlight w:val="none"/>
                <w:lang w:val="en-US" w:eastAsia="zh-CN"/>
              </w:rPr>
              <w:t xml:space="preserve">3.售后服务（2分）：根据质保时间、培训安排、响应速度、人员配置、备件情况等进行综合评定， </w:t>
            </w:r>
            <w:r>
              <w:rPr>
                <w:rFonts w:hint="eastAsia" w:ascii="仿宋" w:hAnsi="仿宋" w:eastAsia="仿宋" w:cs="仿宋"/>
                <w:b w:val="0"/>
                <w:bCs w:val="0"/>
                <w:sz w:val="24"/>
                <w:szCs w:val="24"/>
                <w:highlight w:val="none"/>
                <w:lang w:val="zh-CN" w:eastAsia="zh-CN"/>
              </w:rPr>
              <w:t>方案内容完整、合理、可行性强、针对性强，得</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lang w:val="zh-CN" w:eastAsia="zh-CN"/>
              </w:rPr>
              <w:t>分；方案内容</w:t>
            </w:r>
            <w:r>
              <w:rPr>
                <w:rFonts w:hint="eastAsia" w:ascii="仿宋" w:hAnsi="仿宋" w:eastAsia="仿宋" w:cs="仿宋"/>
                <w:b w:val="0"/>
                <w:bCs w:val="0"/>
                <w:sz w:val="24"/>
                <w:szCs w:val="24"/>
                <w:highlight w:val="none"/>
                <w:lang w:val="en-US" w:eastAsia="zh-CN"/>
              </w:rPr>
              <w:t>有</w:t>
            </w:r>
            <w:r>
              <w:rPr>
                <w:rFonts w:hint="eastAsia" w:ascii="仿宋" w:hAnsi="仿宋" w:eastAsia="仿宋" w:cs="仿宋"/>
                <w:b w:val="0"/>
                <w:bCs w:val="0"/>
                <w:sz w:val="24"/>
                <w:szCs w:val="24"/>
                <w:highlight w:val="none"/>
                <w:lang w:val="zh-CN" w:eastAsia="zh-CN"/>
              </w:rPr>
              <w:t>缺陷、欠科学、欠合理、针对性不足，得</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lang w:val="zh-CN" w:eastAsia="zh-CN"/>
              </w:rPr>
              <w:t>分；方案内容</w:t>
            </w:r>
            <w:r>
              <w:rPr>
                <w:rFonts w:hint="eastAsia" w:ascii="仿宋" w:hAnsi="仿宋" w:eastAsia="仿宋" w:cs="仿宋"/>
                <w:b w:val="0"/>
                <w:bCs w:val="0"/>
                <w:sz w:val="24"/>
                <w:szCs w:val="24"/>
                <w:highlight w:val="none"/>
                <w:lang w:val="en-US" w:eastAsia="zh-CN"/>
              </w:rPr>
              <w:t>有</w:t>
            </w:r>
            <w:r>
              <w:rPr>
                <w:rFonts w:hint="eastAsia" w:ascii="仿宋" w:hAnsi="仿宋" w:eastAsia="仿宋" w:cs="仿宋"/>
                <w:b w:val="0"/>
                <w:bCs w:val="0"/>
                <w:sz w:val="24"/>
                <w:szCs w:val="24"/>
                <w:highlight w:val="none"/>
                <w:lang w:val="zh-CN" w:eastAsia="zh-CN"/>
              </w:rPr>
              <w:t>严重缺陷、无针对性或不提供的不得分。</w:t>
            </w:r>
          </w:p>
        </w:tc>
      </w:tr>
      <w:tr w14:paraId="08B8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373" w:type="pct"/>
            <w:vAlign w:val="center"/>
          </w:tcPr>
          <w:p w14:paraId="6BE6A00F">
            <w:pPr>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625" w:type="pct"/>
            <w:vAlign w:val="center"/>
          </w:tcPr>
          <w:p w14:paraId="0FF75F73">
            <w:pPr>
              <w:tabs>
                <w:tab w:val="right" w:leader="dot" w:pos="8096"/>
              </w:tabs>
              <w:adjustRightInd w:val="0"/>
              <w:snapToGrid w:val="0"/>
              <w:spacing w:line="38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施工方案</w:t>
            </w:r>
          </w:p>
        </w:tc>
        <w:tc>
          <w:tcPr>
            <w:tcW w:w="502" w:type="pct"/>
            <w:vAlign w:val="center"/>
          </w:tcPr>
          <w:p w14:paraId="07F7A799">
            <w:pPr>
              <w:tabs>
                <w:tab w:val="right" w:leader="dot" w:pos="8096"/>
              </w:tabs>
              <w:adjustRightInd w:val="0"/>
              <w:snapToGrid w:val="0"/>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4分</w:t>
            </w:r>
          </w:p>
        </w:tc>
        <w:tc>
          <w:tcPr>
            <w:tcW w:w="3498" w:type="pct"/>
            <w:vAlign w:val="center"/>
          </w:tcPr>
          <w:p w14:paraId="7045C2AE">
            <w:pPr>
              <w:pStyle w:val="128"/>
              <w:keepNext w:val="0"/>
              <w:keepLines w:val="0"/>
              <w:pageBreakBefore w:val="0"/>
              <w:numPr>
                <w:ilvl w:val="2"/>
                <w:numId w:val="0"/>
              </w:numPr>
              <w:tabs>
                <w:tab w:val="left" w:pos="567"/>
              </w:tabs>
              <w:kinsoku/>
              <w:wordWrap/>
              <w:overflowPunct/>
              <w:topLinePunct w:val="0"/>
              <w:autoSpaceDE/>
              <w:autoSpaceDN/>
              <w:bidi w:val="0"/>
              <w:adjustRightInd/>
              <w:snapToGrid/>
              <w:spacing w:beforeLines="0"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根据项目需求，制定项目实施方案，内容包括但不限于施工组织、施工管理、施工工期计划、质量保证、施工安全、安装工程清单、现场管理分析评价等，评标委员会根据招标需求对上述内容进行综合评审：施工方案内容全面，科学合理，有很强的操作性和针对性得6分；施工方案内容较全面，有一定的操作性和针对性得3分；施工方案内容有所欠缺，操作性和针对性一般得1分；未提供不得分。</w:t>
            </w:r>
          </w:p>
        </w:tc>
      </w:tr>
    </w:tbl>
    <w:p w14:paraId="3E55C669">
      <w:pPr>
        <w:snapToGrid w:val="0"/>
        <w:spacing w:line="46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各供应商得分为磋商小组成员评分的算术平均分，分值保留小数点后两位。</w:t>
      </w:r>
    </w:p>
    <w:p w14:paraId="153A9EA2">
      <w:pPr>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（四）</w:t>
      </w:r>
      <w:r>
        <w:rPr>
          <w:rFonts w:hint="eastAsia" w:ascii="仿宋" w:hAnsi="仿宋" w:eastAsia="仿宋"/>
          <w:b/>
          <w:sz w:val="28"/>
          <w:szCs w:val="28"/>
          <w:highlight w:val="none"/>
          <w:lang w:val="zh-CN"/>
        </w:rPr>
        <w:t>价格分</w:t>
      </w:r>
      <w:r>
        <w:rPr>
          <w:rFonts w:hint="eastAsia" w:ascii="仿宋" w:hAnsi="仿宋" w:eastAsia="仿宋"/>
          <w:b/>
          <w:sz w:val="28"/>
          <w:szCs w:val="28"/>
          <w:highlight w:val="none"/>
        </w:rPr>
        <w:t>：</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lang w:val="zh-CN"/>
        </w:rPr>
        <w:t>分</w:t>
      </w:r>
    </w:p>
    <w:p w14:paraId="3348F54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5C1AA7F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磋商报价得分=（磋商基准价/最后磋商报价）×价格权值×100</w:t>
      </w:r>
    </w:p>
    <w:p w14:paraId="4BE23973">
      <w:pPr>
        <w:snapToGrid w:val="0"/>
        <w:spacing w:line="460" w:lineRule="exact"/>
        <w:ind w:firstLine="570"/>
        <w:rPr>
          <w:rFonts w:ascii="仿宋" w:hAnsi="仿宋" w:eastAsia="仿宋"/>
          <w:color w:val="000000"/>
          <w:sz w:val="28"/>
          <w:szCs w:val="28"/>
          <w:highlight w:val="none"/>
        </w:rPr>
      </w:pPr>
      <w:r>
        <w:rPr>
          <w:rFonts w:hint="eastAsia" w:ascii="仿宋" w:hAnsi="仿宋" w:eastAsia="仿宋"/>
          <w:color w:val="000000"/>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813CC68">
      <w:pPr>
        <w:snapToGrid w:val="0"/>
        <w:spacing w:line="460" w:lineRule="exact"/>
        <w:ind w:firstLine="570"/>
        <w:outlineLvl w:val="2"/>
        <w:rPr>
          <w:rFonts w:ascii="仿宋" w:hAnsi="仿宋" w:eastAsia="仿宋"/>
          <w:b/>
          <w:sz w:val="28"/>
          <w:szCs w:val="28"/>
          <w:highlight w:val="none"/>
        </w:rPr>
      </w:pPr>
      <w:r>
        <w:rPr>
          <w:rFonts w:hint="eastAsia" w:ascii="仿宋" w:hAnsi="仿宋" w:eastAsia="仿宋"/>
          <w:b/>
          <w:sz w:val="28"/>
          <w:szCs w:val="28"/>
          <w:highlight w:val="none"/>
        </w:rPr>
        <w:t>（五）成交供应商的确定</w:t>
      </w:r>
    </w:p>
    <w:p w14:paraId="1740AB0E">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磋商小组汇总各评委评分后，按照得分从高到低的顺序推荐三名成交候选人，并编写评审报告。</w:t>
      </w:r>
    </w:p>
    <w:p w14:paraId="4A990C0B">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采购人委托磋商小组直接确定排名第一的成交候选人为成交供应商。</w:t>
      </w:r>
    </w:p>
    <w:p w14:paraId="42696B3D">
      <w:pPr>
        <w:snapToGrid w:val="0"/>
        <w:spacing w:line="460" w:lineRule="exact"/>
        <w:ind w:firstLine="557" w:firstLineChars="198"/>
        <w:outlineLvl w:val="2"/>
        <w:rPr>
          <w:rFonts w:ascii="仿宋" w:hAnsi="仿宋" w:eastAsia="仿宋"/>
          <w:b/>
          <w:sz w:val="28"/>
          <w:szCs w:val="28"/>
          <w:highlight w:val="none"/>
        </w:rPr>
      </w:pPr>
      <w:r>
        <w:rPr>
          <w:rFonts w:hint="eastAsia" w:ascii="仿宋" w:hAnsi="仿宋" w:eastAsia="仿宋"/>
          <w:b/>
          <w:sz w:val="28"/>
          <w:szCs w:val="28"/>
          <w:highlight w:val="none"/>
        </w:rPr>
        <w:t>（六）采购人代表宣布评审结果</w:t>
      </w:r>
    </w:p>
    <w:p w14:paraId="4A92351D">
      <w:pPr>
        <w:snapToGrid w:val="0"/>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w:t>
      </w:r>
      <w:r>
        <w:rPr>
          <w:rFonts w:hint="eastAsia" w:ascii="仿宋" w:hAnsi="仿宋" w:eastAsia="仿宋"/>
          <w:b/>
          <w:bCs/>
          <w:sz w:val="28"/>
          <w:szCs w:val="28"/>
          <w:highlight w:val="none"/>
        </w:rPr>
        <w:t>七</w:t>
      </w:r>
      <w:r>
        <w:rPr>
          <w:rFonts w:hint="eastAsia" w:ascii="仿宋" w:hAnsi="仿宋" w:eastAsia="仿宋"/>
          <w:b/>
          <w:sz w:val="28"/>
          <w:szCs w:val="28"/>
          <w:highlight w:val="none"/>
        </w:rPr>
        <w:t>）公告成交结果</w:t>
      </w:r>
    </w:p>
    <w:p w14:paraId="175E9C87">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自确定成交供应商之日起2个工作日内，在南通市卫生健康委员会网站、学校网站公告成交结果，公告期限为1个工作日。</w:t>
      </w:r>
    </w:p>
    <w:p w14:paraId="5C6F4EDC">
      <w:pPr>
        <w:snapToGrid w:val="0"/>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w:t>
      </w:r>
      <w:r>
        <w:rPr>
          <w:rFonts w:hint="eastAsia" w:ascii="仿宋" w:hAnsi="仿宋" w:eastAsia="仿宋"/>
          <w:b/>
          <w:bCs/>
          <w:sz w:val="28"/>
          <w:szCs w:val="28"/>
          <w:highlight w:val="none"/>
        </w:rPr>
        <w:t>八</w:t>
      </w:r>
      <w:r>
        <w:rPr>
          <w:rFonts w:hint="eastAsia" w:ascii="仿宋" w:hAnsi="仿宋" w:eastAsia="仿宋"/>
          <w:b/>
          <w:sz w:val="28"/>
          <w:szCs w:val="28"/>
          <w:highlight w:val="none"/>
        </w:rPr>
        <w:t>）</w:t>
      </w:r>
      <w:r>
        <w:rPr>
          <w:rFonts w:hint="eastAsia" w:ascii="仿宋" w:hAnsi="仿宋" w:eastAsia="仿宋"/>
          <w:b/>
          <w:bCs/>
          <w:sz w:val="28"/>
          <w:szCs w:val="28"/>
          <w:highlight w:val="none"/>
        </w:rPr>
        <w:t>发放成交通知书</w:t>
      </w:r>
    </w:p>
    <w:p w14:paraId="55071C1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公告成交结果的同时，采购代理机构</w:t>
      </w:r>
      <w:r>
        <w:rPr>
          <w:rFonts w:hint="eastAsia" w:ascii="仿宋" w:hAnsi="仿宋" w:eastAsia="仿宋"/>
          <w:bCs/>
          <w:sz w:val="28"/>
          <w:szCs w:val="28"/>
          <w:highlight w:val="none"/>
        </w:rPr>
        <w:t>向成交供应商发放成交通知书。联系电话：0513-55887688。</w:t>
      </w:r>
    </w:p>
    <w:p w14:paraId="24C5CA31">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成交通知书发出后，采购人不得违法改变成交结果，成交供应商无正当理由不得放弃成交。</w:t>
      </w:r>
    </w:p>
    <w:p w14:paraId="16AF7412">
      <w:pPr>
        <w:snapToGrid w:val="0"/>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（九）</w:t>
      </w:r>
      <w:r>
        <w:rPr>
          <w:rFonts w:hint="eastAsia" w:ascii="仿宋" w:hAnsi="仿宋" w:eastAsia="仿宋"/>
          <w:b/>
          <w:sz w:val="28"/>
          <w:szCs w:val="28"/>
          <w:highlight w:val="none"/>
        </w:rPr>
        <w:t>其他</w:t>
      </w:r>
    </w:p>
    <w:p w14:paraId="1C10C618">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当排名第一的成交候选人无正当理由放弃成交，被查实存在影响成交结果的违法行为等情形，采购人有权按照政府采购相关法律法规的规定对其采取惩戒措施，包含但不限于列入采购失信人黑名单等措施。</w:t>
      </w:r>
    </w:p>
    <w:p w14:paraId="47B55F64">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当排名第一的成交候选人放弃成交、因不可抗力不能履行合同，或者被查实存在影响成交结果的违法行为等情形，不符合成交条件的，采购人可以按照评标委员会提出的成交候选人名单排序依次确定其他成交候选人为成交供应商，也可以重新采购。</w:t>
      </w:r>
    </w:p>
    <w:p w14:paraId="08A101A9">
      <w:pPr>
        <w:snapToGrid w:val="0"/>
        <w:spacing w:line="360" w:lineRule="auto"/>
        <w:jc w:val="center"/>
        <w:outlineLvl w:val="0"/>
        <w:rPr>
          <w:rFonts w:ascii="仿宋" w:hAnsi="仿宋" w:eastAsia="仿宋"/>
          <w:b/>
          <w:sz w:val="36"/>
          <w:szCs w:val="36"/>
          <w:highlight w:val="none"/>
        </w:rPr>
      </w:pPr>
    </w:p>
    <w:p w14:paraId="5831CED8">
      <w:pPr>
        <w:snapToGrid w:val="0"/>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br w:type="page"/>
      </w:r>
      <w:r>
        <w:rPr>
          <w:rFonts w:hint="eastAsia" w:ascii="仿宋" w:hAnsi="仿宋" w:eastAsia="仿宋"/>
          <w:bCs/>
          <w:sz w:val="36"/>
          <w:szCs w:val="36"/>
          <w:highlight w:val="none"/>
        </w:rPr>
        <w:t>第五部分 响应文件组成</w:t>
      </w:r>
    </w:p>
    <w:p w14:paraId="7974CF09">
      <w:pPr>
        <w:snapToGrid w:val="0"/>
        <w:spacing w:line="460" w:lineRule="exact"/>
        <w:ind w:firstLine="562" w:firstLineChars="200"/>
        <w:jc w:val="left"/>
        <w:rPr>
          <w:rFonts w:ascii="仿宋" w:hAnsi="仿宋" w:eastAsia="仿宋"/>
          <w:b/>
          <w:sz w:val="28"/>
          <w:szCs w:val="28"/>
          <w:highlight w:val="none"/>
        </w:rPr>
      </w:pPr>
      <w:r>
        <w:rPr>
          <w:rFonts w:hint="eastAsia" w:ascii="仿宋" w:hAnsi="仿宋" w:eastAsia="仿宋"/>
          <w:b/>
          <w:sz w:val="28"/>
          <w:szCs w:val="28"/>
          <w:highlight w:val="none"/>
        </w:rPr>
        <w:t>响应文件由纸质响应文件、电子响应文件两部分组成。</w:t>
      </w:r>
    </w:p>
    <w:p w14:paraId="39733389">
      <w:pPr>
        <w:pStyle w:val="95"/>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纸质响应文件：</w:t>
      </w:r>
    </w:p>
    <w:p w14:paraId="26E79E2C">
      <w:pPr>
        <w:pStyle w:val="95"/>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lang w:eastAsia="zh-CN"/>
        </w:rPr>
        <w:t>资格审查</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lang w:eastAsia="zh-CN"/>
        </w:rPr>
        <w:t>文件</w:t>
      </w:r>
      <w:r>
        <w:rPr>
          <w:rFonts w:hint="eastAsia" w:ascii="仿宋" w:hAnsi="仿宋" w:eastAsia="仿宋" w:cs="仿宋"/>
          <w:b/>
          <w:color w:val="auto"/>
          <w:sz w:val="28"/>
          <w:szCs w:val="28"/>
          <w:highlight w:val="none"/>
        </w:rPr>
        <w:t>：</w:t>
      </w:r>
    </w:p>
    <w:p w14:paraId="5AF4EFC0">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关于资格的响应函；</w:t>
      </w:r>
    </w:p>
    <w:p w14:paraId="1DC802F9">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pacing w:val="7"/>
          <w:sz w:val="28"/>
          <w:szCs w:val="28"/>
          <w:highlight w:val="none"/>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color w:val="auto"/>
          <w:sz w:val="28"/>
          <w:szCs w:val="28"/>
          <w:highlight w:val="none"/>
        </w:rPr>
        <w:t>；</w:t>
      </w:r>
    </w:p>
    <w:p w14:paraId="38D6C014">
      <w:pPr>
        <w:snapToGrid w:val="0"/>
        <w:spacing w:line="460" w:lineRule="exact"/>
        <w:ind w:firstLine="588" w:firstLineChars="20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lang w:val="en-US" w:eastAsia="zh-CN"/>
        </w:rPr>
        <w:t>1.3</w:t>
      </w:r>
      <w:r>
        <w:rPr>
          <w:rFonts w:hint="eastAsia" w:ascii="仿宋" w:hAnsi="仿宋" w:eastAsia="仿宋" w:cs="仿宋"/>
          <w:color w:val="auto"/>
          <w:spacing w:val="7"/>
          <w:sz w:val="28"/>
          <w:szCs w:val="28"/>
          <w:highlight w:val="none"/>
          <w:shd w:val="clear" w:color="auto" w:fill="FFFFFF"/>
        </w:rPr>
        <w:t>提供有效的营业执照副本复印件。</w:t>
      </w:r>
    </w:p>
    <w:p w14:paraId="753CE8B3">
      <w:pPr>
        <w:pStyle w:val="95"/>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r>
        <w:rPr>
          <w:rFonts w:hint="eastAsia" w:ascii="仿宋" w:hAnsi="仿宋" w:eastAsia="仿宋" w:cs="仿宋"/>
          <w:b/>
          <w:color w:val="auto"/>
          <w:sz w:val="28"/>
          <w:szCs w:val="28"/>
          <w:highlight w:val="none"/>
        </w:rPr>
        <w:t>：</w:t>
      </w:r>
    </w:p>
    <w:p w14:paraId="59758355">
      <w:pPr>
        <w:pStyle w:val="95"/>
        <w:snapToGrid w:val="0"/>
        <w:spacing w:before="0" w:beforeAutospacing="0" w:after="0" w:afterAutospacing="0" w:line="460" w:lineRule="exact"/>
        <w:ind w:firstLine="560" w:firstLineChars="200"/>
        <w:contextualSpacing/>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2.1</w:t>
      </w:r>
      <w:r>
        <w:rPr>
          <w:rFonts w:hint="eastAsia" w:ascii="仿宋" w:hAnsi="仿宋" w:eastAsia="仿宋" w:cs="仿宋"/>
          <w:color w:val="auto"/>
          <w:kern w:val="2"/>
          <w:sz w:val="28"/>
          <w:szCs w:val="28"/>
          <w:highlight w:val="none"/>
          <w:lang w:val="zh-CN" w:eastAsia="zh-CN" w:bidi="ar-SA"/>
        </w:rPr>
        <w:t>投标人情况一览表</w:t>
      </w:r>
      <w:r>
        <w:rPr>
          <w:rFonts w:hint="eastAsia" w:ascii="仿宋" w:hAnsi="仿宋" w:eastAsia="仿宋" w:cs="仿宋"/>
          <w:color w:val="auto"/>
          <w:kern w:val="2"/>
          <w:sz w:val="28"/>
          <w:szCs w:val="28"/>
          <w:highlight w:val="none"/>
          <w:lang w:val="en-US" w:eastAsia="zh-CN" w:bidi="ar-SA"/>
        </w:rPr>
        <w:t>；</w:t>
      </w:r>
    </w:p>
    <w:p w14:paraId="3DA2AC07">
      <w:pPr>
        <w:pStyle w:val="95"/>
        <w:snapToGrid w:val="0"/>
        <w:spacing w:before="0" w:beforeAutospacing="0" w:after="0" w:afterAutospacing="0" w:line="460" w:lineRule="exact"/>
        <w:ind w:firstLine="560" w:firstLineChars="200"/>
        <w:contextualSpacing/>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2.2技术、商务部分正负偏离表；</w:t>
      </w:r>
    </w:p>
    <w:p w14:paraId="77393863">
      <w:pPr>
        <w:tabs>
          <w:tab w:val="left" w:pos="1260"/>
        </w:tabs>
        <w:snapToGrid w:val="0"/>
        <w:spacing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val="zh-CN" w:eastAsia="zh-CN"/>
        </w:rPr>
        <w:t>为方便评委评审，请供应商按评审办法中所涉及的事项顺序进行编制，可以补充相关材料；</w:t>
      </w:r>
    </w:p>
    <w:p w14:paraId="14165EA1">
      <w:pPr>
        <w:tabs>
          <w:tab w:val="left" w:pos="1260"/>
        </w:tabs>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val="zh-CN" w:eastAsia="zh-CN"/>
        </w:rPr>
        <w:t>评审办法中未涉及</w:t>
      </w:r>
      <w:r>
        <w:rPr>
          <w:rFonts w:hint="eastAsia" w:ascii="仿宋" w:hAnsi="仿宋" w:eastAsia="仿宋" w:cs="仿宋"/>
          <w:color w:val="auto"/>
          <w:kern w:val="0"/>
          <w:sz w:val="28"/>
          <w:szCs w:val="28"/>
          <w:highlight w:val="none"/>
          <w:lang w:val="zh-CN"/>
        </w:rPr>
        <w:t>的事项，供应商认为需要提交的其他资料。</w:t>
      </w:r>
    </w:p>
    <w:p w14:paraId="6931A396">
      <w:pPr>
        <w:pStyle w:val="95"/>
        <w:snapToGrid w:val="0"/>
        <w:spacing w:before="0" w:beforeAutospacing="0" w:after="0" w:afterAutospacing="0"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color w:val="auto"/>
          <w:sz w:val="28"/>
          <w:highlight w:val="none"/>
        </w:rPr>
        <w:t>价格响应文件：</w:t>
      </w:r>
    </w:p>
    <w:p w14:paraId="4487D9DF">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报价总表；</w:t>
      </w:r>
    </w:p>
    <w:p w14:paraId="54659FDA">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3.2分项报价表。</w:t>
      </w:r>
    </w:p>
    <w:p w14:paraId="0A26404E">
      <w:pPr>
        <w:snapToGrid w:val="0"/>
        <w:spacing w:line="460" w:lineRule="exact"/>
        <w:ind w:firstLine="562" w:firstLineChars="200"/>
        <w:contextualSpacing/>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四、电子响应文件</w:t>
      </w:r>
    </w:p>
    <w:p w14:paraId="2D0D9B50">
      <w:pPr>
        <w:snapToGrid w:val="0"/>
        <w:spacing w:line="360" w:lineRule="auto"/>
        <w:ind w:firstLine="537" w:firstLineChars="192"/>
        <w:contextualSpacing/>
        <w:rPr>
          <w:rFonts w:hint="eastAsia" w:ascii="仿宋" w:hAnsi="仿宋" w:eastAsia="仿宋" w:cs="仿宋"/>
          <w:b/>
          <w:kern w:val="0"/>
          <w:sz w:val="28"/>
          <w:szCs w:val="28"/>
          <w:highlight w:val="none"/>
        </w:rPr>
      </w:pPr>
      <w:r>
        <w:rPr>
          <w:rFonts w:hint="eastAsia" w:ascii="仿宋" w:hAnsi="仿宋" w:eastAsia="仿宋" w:cs="仿宋"/>
          <w:b w:val="0"/>
          <w:bCs w:val="0"/>
          <w:color w:val="auto"/>
          <w:sz w:val="28"/>
          <w:szCs w:val="28"/>
          <w:highlight w:val="none"/>
          <w:lang w:val="zh-CN"/>
        </w:rPr>
        <w:t>电子响应文件的内容为资格审查文件、商务技术响应文件、价格响应文件打印盖章后的响应文件的扫描件，可以采取U盘方式提交。电子响应文件内容应与提交发纸质响应文件内容一致。否则，由此产生的后果</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lang w:val="zh-CN"/>
        </w:rPr>
        <w:t>人自负。</w:t>
      </w:r>
    </w:p>
    <w:p w14:paraId="46AF5A96">
      <w:pPr>
        <w:snapToGrid w:val="0"/>
        <w:spacing w:line="360" w:lineRule="auto"/>
        <w:contextualSpacing/>
        <w:rPr>
          <w:rFonts w:ascii="仿宋" w:hAnsi="仿宋" w:eastAsia="仿宋"/>
          <w:kern w:val="0"/>
          <w:sz w:val="32"/>
          <w:szCs w:val="32"/>
          <w:highlight w:val="none"/>
          <w:lang w:val="zh-CN"/>
        </w:rPr>
      </w:pPr>
    </w:p>
    <w:p w14:paraId="48321664">
      <w:pPr>
        <w:snapToGrid w:val="0"/>
        <w:spacing w:line="360" w:lineRule="auto"/>
        <w:contextualSpacing/>
        <w:rPr>
          <w:rFonts w:ascii="仿宋" w:hAnsi="仿宋" w:eastAsia="仿宋"/>
          <w:kern w:val="0"/>
          <w:sz w:val="32"/>
          <w:szCs w:val="32"/>
          <w:highlight w:val="none"/>
          <w:lang w:val="zh-CN"/>
        </w:rPr>
      </w:pPr>
    </w:p>
    <w:p w14:paraId="29C4866B">
      <w:pPr>
        <w:pStyle w:val="73"/>
        <w:rPr>
          <w:rFonts w:ascii="仿宋" w:hAnsi="仿宋" w:eastAsia="仿宋"/>
          <w:sz w:val="32"/>
          <w:szCs w:val="32"/>
          <w:highlight w:val="none"/>
          <w:lang w:val="zh-CN"/>
        </w:rPr>
      </w:pPr>
    </w:p>
    <w:p w14:paraId="07791DC8">
      <w:pPr>
        <w:snapToGrid w:val="0"/>
        <w:spacing w:line="360" w:lineRule="auto"/>
        <w:contextualSpacing/>
        <w:rPr>
          <w:rFonts w:hint="eastAsia" w:ascii="仿宋" w:hAnsi="仿宋" w:eastAsia="仿宋"/>
          <w:kern w:val="0"/>
          <w:sz w:val="32"/>
          <w:szCs w:val="32"/>
          <w:highlight w:val="none"/>
          <w:lang w:val="zh-CN"/>
        </w:rPr>
      </w:pPr>
    </w:p>
    <w:p w14:paraId="4DE5E7AF">
      <w:pPr>
        <w:spacing w:line="360" w:lineRule="auto"/>
        <w:jc w:val="left"/>
        <w:rPr>
          <w:rFonts w:hint="eastAsia" w:ascii="仿宋" w:hAnsi="仿宋" w:eastAsia="仿宋"/>
          <w:b/>
          <w:sz w:val="30"/>
          <w:szCs w:val="30"/>
          <w:highlight w:val="none"/>
        </w:rPr>
      </w:pPr>
      <w:r>
        <w:rPr>
          <w:rFonts w:hint="eastAsia" w:ascii="仿宋" w:hAnsi="仿宋" w:eastAsia="仿宋"/>
          <w:b/>
          <w:sz w:val="30"/>
          <w:szCs w:val="30"/>
          <w:highlight w:val="none"/>
          <w:lang w:eastAsia="zh-CN"/>
        </w:rPr>
        <w:t>资格审查</w:t>
      </w:r>
      <w:r>
        <w:rPr>
          <w:rFonts w:hint="eastAsia" w:ascii="仿宋" w:hAnsi="仿宋" w:eastAsia="仿宋"/>
          <w:b/>
          <w:sz w:val="30"/>
          <w:szCs w:val="30"/>
          <w:highlight w:val="none"/>
          <w:lang w:val="en-US" w:eastAsia="zh-CN"/>
        </w:rPr>
        <w:t>响应</w:t>
      </w:r>
      <w:r>
        <w:rPr>
          <w:rFonts w:hint="eastAsia" w:ascii="仿宋" w:hAnsi="仿宋" w:eastAsia="仿宋"/>
          <w:b/>
          <w:sz w:val="30"/>
          <w:szCs w:val="30"/>
          <w:highlight w:val="none"/>
          <w:lang w:eastAsia="zh-CN"/>
        </w:rPr>
        <w:t>文件</w:t>
      </w:r>
    </w:p>
    <w:p w14:paraId="6D68AF4F">
      <w:pPr>
        <w:spacing w:line="360" w:lineRule="auto"/>
        <w:jc w:val="center"/>
        <w:rPr>
          <w:rFonts w:ascii="仿宋" w:hAnsi="仿宋" w:eastAsia="仿宋"/>
          <w:b/>
          <w:sz w:val="30"/>
          <w:szCs w:val="30"/>
          <w:highlight w:val="none"/>
        </w:rPr>
      </w:pPr>
    </w:p>
    <w:p w14:paraId="18B8DB1E">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lang w:val="en-US" w:eastAsia="zh-CN"/>
        </w:rPr>
        <w:t>1.</w:t>
      </w:r>
      <w:r>
        <w:rPr>
          <w:rFonts w:hint="eastAsia" w:ascii="仿宋" w:hAnsi="仿宋" w:eastAsia="仿宋"/>
          <w:b/>
          <w:sz w:val="30"/>
          <w:szCs w:val="30"/>
          <w:highlight w:val="none"/>
        </w:rPr>
        <w:t>投标人符合本项目投标人资格要求的承诺函</w:t>
      </w:r>
    </w:p>
    <w:p w14:paraId="52C53D7F">
      <w:pPr>
        <w:spacing w:line="360" w:lineRule="auto"/>
        <w:rPr>
          <w:rFonts w:ascii="仿宋" w:hAnsi="仿宋" w:eastAsia="仿宋"/>
          <w:b/>
          <w:bCs/>
          <w:sz w:val="24"/>
          <w:szCs w:val="21"/>
          <w:highlight w:val="none"/>
        </w:rPr>
      </w:pPr>
      <w:r>
        <w:rPr>
          <w:rFonts w:hint="eastAsia" w:ascii="仿宋" w:hAnsi="仿宋" w:eastAsia="仿宋"/>
          <w:b/>
          <w:bCs/>
          <w:sz w:val="24"/>
          <w:szCs w:val="21"/>
          <w:highlight w:val="none"/>
        </w:rPr>
        <w:t xml:space="preserve">                       </w:t>
      </w:r>
      <w:r>
        <w:rPr>
          <w:rFonts w:hint="eastAsia" w:ascii="仿宋" w:hAnsi="仿宋" w:eastAsia="仿宋"/>
          <w:b/>
          <w:bCs/>
          <w:sz w:val="44"/>
          <w:szCs w:val="44"/>
          <w:highlight w:val="none"/>
        </w:rPr>
        <w:t xml:space="preserve">   </w:t>
      </w:r>
    </w:p>
    <w:p w14:paraId="68389AA7">
      <w:pPr>
        <w:spacing w:line="360" w:lineRule="auto"/>
        <w:ind w:firstLine="480" w:firstLineChars="200"/>
        <w:rPr>
          <w:rFonts w:ascii="仿宋" w:hAnsi="仿宋" w:eastAsia="仿宋"/>
          <w:bCs/>
          <w:sz w:val="24"/>
          <w:highlight w:val="none"/>
        </w:rPr>
      </w:pPr>
      <w:r>
        <w:rPr>
          <w:rFonts w:hint="eastAsia" w:ascii="仿宋" w:hAnsi="仿宋" w:eastAsia="仿宋"/>
          <w:bCs/>
          <w:sz w:val="24"/>
          <w:highlight w:val="none"/>
        </w:rPr>
        <w:t>我单位参加</w:t>
      </w:r>
      <w:r>
        <w:rPr>
          <w:rFonts w:hint="eastAsia" w:ascii="仿宋" w:hAnsi="仿宋" w:eastAsia="仿宋"/>
          <w:bCs/>
          <w:sz w:val="24"/>
          <w:szCs w:val="21"/>
          <w:highlight w:val="none"/>
          <w:u w:val="single"/>
        </w:rPr>
        <w:t>________________ _</w:t>
      </w:r>
      <w:r>
        <w:rPr>
          <w:rFonts w:hint="eastAsia" w:ascii="仿宋" w:hAnsi="仿宋" w:eastAsia="仿宋"/>
          <w:bCs/>
          <w:sz w:val="24"/>
          <w:szCs w:val="21"/>
          <w:highlight w:val="none"/>
        </w:rPr>
        <w:t>（项目名称），</w:t>
      </w:r>
      <w:r>
        <w:rPr>
          <w:rFonts w:hint="eastAsia" w:ascii="仿宋" w:hAnsi="仿宋" w:eastAsia="仿宋"/>
          <w:bCs/>
          <w:sz w:val="24"/>
          <w:szCs w:val="21"/>
          <w:highlight w:val="none"/>
          <w:u w:val="single"/>
        </w:rPr>
        <w:t>_______ __________</w:t>
      </w:r>
      <w:r>
        <w:rPr>
          <w:rFonts w:hint="eastAsia" w:ascii="仿宋" w:hAnsi="仿宋" w:eastAsia="仿宋"/>
          <w:bCs/>
          <w:sz w:val="24"/>
          <w:szCs w:val="21"/>
          <w:highlight w:val="none"/>
        </w:rPr>
        <w:t>（项目编号）投标活动。针对本项目投标人资格要求做出如下承诺：</w:t>
      </w:r>
    </w:p>
    <w:p w14:paraId="783C14C9">
      <w:pPr>
        <w:spacing w:line="360" w:lineRule="auto"/>
        <w:ind w:firstLine="480" w:firstLineChars="200"/>
        <w:rPr>
          <w:rFonts w:ascii="仿宋" w:hAnsi="仿宋" w:eastAsia="仿宋"/>
          <w:bCs/>
          <w:sz w:val="24"/>
          <w:szCs w:val="21"/>
          <w:highlight w:val="none"/>
        </w:rPr>
      </w:pPr>
      <w:r>
        <w:rPr>
          <w:rFonts w:hint="eastAsia" w:ascii="仿宋" w:hAnsi="仿宋" w:eastAsia="仿宋"/>
          <w:bCs/>
          <w:sz w:val="24"/>
          <w:szCs w:val="21"/>
          <w:highlight w:val="none"/>
        </w:rPr>
        <w:t>1.我单位具有独立承担民事责任的能力；</w:t>
      </w:r>
    </w:p>
    <w:p w14:paraId="624C2A8E">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2.我单位具有良好的商业信誉和健全的财务会计制度；</w:t>
      </w:r>
    </w:p>
    <w:p w14:paraId="367A35B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3.我单位具有履行合同所必需的设备和专业技术能力；</w:t>
      </w:r>
    </w:p>
    <w:p w14:paraId="36B555B7">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4.我单位有依法缴纳税收和社会保障资金的良好记录；</w:t>
      </w:r>
    </w:p>
    <w:p w14:paraId="0A739A40">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10882D22">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6.我单位满足法律、行政法规规定的其他条件。</w:t>
      </w:r>
    </w:p>
    <w:p w14:paraId="0DA2EEE1">
      <w:pPr>
        <w:spacing w:line="360" w:lineRule="auto"/>
        <w:ind w:firstLine="480" w:firstLineChars="200"/>
        <w:rPr>
          <w:rFonts w:ascii="仿宋" w:hAnsi="仿宋" w:eastAsia="仿宋"/>
          <w:sz w:val="24"/>
          <w:highlight w:val="none"/>
        </w:rPr>
      </w:pPr>
    </w:p>
    <w:p w14:paraId="4480CE80">
      <w:pPr>
        <w:spacing w:line="360" w:lineRule="auto"/>
        <w:ind w:firstLine="480" w:firstLineChars="200"/>
        <w:rPr>
          <w:rFonts w:ascii="仿宋" w:hAnsi="仿宋" w:eastAsia="仿宋"/>
          <w:sz w:val="24"/>
          <w:highlight w:val="none"/>
        </w:rPr>
      </w:pPr>
    </w:p>
    <w:p w14:paraId="07B8ADCB">
      <w:pPr>
        <w:spacing w:line="360" w:lineRule="auto"/>
        <w:ind w:firstLine="480" w:firstLineChars="200"/>
        <w:rPr>
          <w:rFonts w:ascii="仿宋" w:hAnsi="仿宋" w:eastAsia="仿宋"/>
          <w:bCs/>
          <w:sz w:val="24"/>
          <w:szCs w:val="21"/>
          <w:highlight w:val="none"/>
        </w:rPr>
      </w:pPr>
    </w:p>
    <w:p w14:paraId="61DF5A9C">
      <w:pPr>
        <w:spacing w:line="360" w:lineRule="auto"/>
        <w:ind w:firstLine="480" w:firstLineChars="200"/>
        <w:rPr>
          <w:rFonts w:ascii="仿宋" w:hAnsi="仿宋" w:eastAsia="仿宋"/>
          <w:bCs/>
          <w:sz w:val="24"/>
          <w:szCs w:val="21"/>
          <w:highlight w:val="none"/>
        </w:rPr>
      </w:pPr>
    </w:p>
    <w:p w14:paraId="7D9FD2AD">
      <w:pPr>
        <w:spacing w:line="360" w:lineRule="auto"/>
        <w:ind w:firstLine="480" w:firstLineChars="200"/>
        <w:rPr>
          <w:rFonts w:ascii="仿宋" w:hAnsi="仿宋" w:eastAsia="仿宋"/>
          <w:bCs/>
          <w:sz w:val="24"/>
          <w:szCs w:val="21"/>
          <w:highlight w:val="none"/>
        </w:rPr>
      </w:pPr>
    </w:p>
    <w:p w14:paraId="5C59BDCB">
      <w:pPr>
        <w:spacing w:line="360" w:lineRule="auto"/>
        <w:ind w:firstLine="480" w:firstLineChars="200"/>
        <w:jc w:val="center"/>
        <w:rPr>
          <w:rFonts w:ascii="仿宋" w:hAnsi="仿宋" w:eastAsia="仿宋"/>
          <w:bCs/>
          <w:sz w:val="24"/>
          <w:szCs w:val="21"/>
          <w:highlight w:val="none"/>
        </w:rPr>
      </w:pPr>
      <w:r>
        <w:rPr>
          <w:rFonts w:hint="eastAsia" w:ascii="仿宋" w:hAnsi="仿宋" w:eastAsia="仿宋"/>
          <w:bCs/>
          <w:sz w:val="24"/>
          <w:szCs w:val="21"/>
          <w:highlight w:val="none"/>
        </w:rPr>
        <w:t xml:space="preserve">                                             承诺人名称（公章）：</w:t>
      </w:r>
    </w:p>
    <w:p w14:paraId="20C0F4C3">
      <w:pPr>
        <w:spacing w:line="360" w:lineRule="auto"/>
        <w:ind w:firstLine="480" w:firstLineChars="200"/>
        <w:jc w:val="right"/>
        <w:rPr>
          <w:rFonts w:ascii="仿宋" w:hAnsi="仿宋" w:eastAsia="仿宋"/>
          <w:bCs/>
          <w:sz w:val="24"/>
          <w:szCs w:val="21"/>
          <w:highlight w:val="none"/>
        </w:rPr>
      </w:pPr>
    </w:p>
    <w:p w14:paraId="4A009EBE">
      <w:pPr>
        <w:spacing w:line="360" w:lineRule="auto"/>
        <w:ind w:firstLine="480" w:firstLineChars="200"/>
        <w:jc w:val="right"/>
        <w:rPr>
          <w:rFonts w:ascii="仿宋" w:hAnsi="仿宋" w:eastAsia="仿宋"/>
          <w:bCs/>
          <w:sz w:val="24"/>
          <w:szCs w:val="21"/>
          <w:highlight w:val="none"/>
        </w:rPr>
      </w:pPr>
    </w:p>
    <w:p w14:paraId="1132B4AE">
      <w:pPr>
        <w:spacing w:line="360" w:lineRule="auto"/>
        <w:ind w:firstLine="480" w:firstLineChars="200"/>
        <w:jc w:val="right"/>
        <w:rPr>
          <w:rFonts w:ascii="仿宋" w:hAnsi="仿宋" w:eastAsia="仿宋"/>
          <w:bCs/>
          <w:sz w:val="24"/>
          <w:szCs w:val="21"/>
          <w:highlight w:val="none"/>
        </w:rPr>
      </w:pPr>
      <w:r>
        <w:rPr>
          <w:rFonts w:hint="eastAsia" w:ascii="仿宋" w:hAnsi="仿宋" w:eastAsia="仿宋"/>
          <w:bCs/>
          <w:sz w:val="24"/>
          <w:szCs w:val="21"/>
          <w:highlight w:val="none"/>
        </w:rPr>
        <w:t xml:space="preserve">    </w:t>
      </w:r>
    </w:p>
    <w:p w14:paraId="070FE764">
      <w:pPr>
        <w:spacing w:line="360" w:lineRule="auto"/>
        <w:ind w:firstLine="480" w:firstLineChars="200"/>
        <w:jc w:val="right"/>
        <w:rPr>
          <w:rFonts w:ascii="仿宋" w:hAnsi="仿宋" w:eastAsia="仿宋"/>
          <w:bCs/>
          <w:sz w:val="24"/>
          <w:szCs w:val="21"/>
          <w:highlight w:val="none"/>
        </w:rPr>
      </w:pPr>
      <w:r>
        <w:rPr>
          <w:rFonts w:hint="eastAsia" w:ascii="仿宋" w:hAnsi="仿宋" w:eastAsia="仿宋"/>
          <w:bCs/>
          <w:sz w:val="24"/>
          <w:szCs w:val="21"/>
          <w:highlight w:val="none"/>
        </w:rPr>
        <w:t xml:space="preserve">                                 日期：</w:t>
      </w:r>
      <w:r>
        <w:rPr>
          <w:rFonts w:hint="eastAsia" w:ascii="仿宋" w:hAnsi="仿宋" w:eastAsia="仿宋"/>
          <w:bCs/>
          <w:sz w:val="24"/>
          <w:szCs w:val="21"/>
          <w:highlight w:val="none"/>
          <w:u w:val="single"/>
        </w:rPr>
        <w:t>______</w:t>
      </w:r>
      <w:r>
        <w:rPr>
          <w:rFonts w:hint="eastAsia" w:ascii="仿宋" w:hAnsi="仿宋" w:eastAsia="仿宋"/>
          <w:bCs/>
          <w:sz w:val="24"/>
          <w:szCs w:val="21"/>
          <w:highlight w:val="none"/>
        </w:rPr>
        <w:t>年</w:t>
      </w:r>
      <w:r>
        <w:rPr>
          <w:rFonts w:hint="eastAsia" w:ascii="仿宋" w:hAnsi="仿宋" w:eastAsia="仿宋"/>
          <w:bCs/>
          <w:sz w:val="24"/>
          <w:szCs w:val="21"/>
          <w:highlight w:val="none"/>
          <w:u w:val="single"/>
        </w:rPr>
        <w:t xml:space="preserve">    </w:t>
      </w:r>
      <w:r>
        <w:rPr>
          <w:rFonts w:hint="eastAsia" w:ascii="仿宋" w:hAnsi="仿宋" w:eastAsia="仿宋"/>
          <w:bCs/>
          <w:sz w:val="24"/>
          <w:szCs w:val="21"/>
          <w:highlight w:val="none"/>
        </w:rPr>
        <w:t>月</w:t>
      </w:r>
      <w:r>
        <w:rPr>
          <w:rFonts w:hint="eastAsia" w:ascii="仿宋" w:hAnsi="仿宋" w:eastAsia="仿宋"/>
          <w:bCs/>
          <w:sz w:val="24"/>
          <w:szCs w:val="21"/>
          <w:highlight w:val="none"/>
          <w:u w:val="single"/>
        </w:rPr>
        <w:t xml:space="preserve">    </w:t>
      </w:r>
      <w:r>
        <w:rPr>
          <w:rFonts w:hint="eastAsia" w:ascii="仿宋" w:hAnsi="仿宋" w:eastAsia="仿宋"/>
          <w:bCs/>
          <w:sz w:val="24"/>
          <w:szCs w:val="21"/>
          <w:highlight w:val="none"/>
        </w:rPr>
        <w:t>日</w:t>
      </w:r>
    </w:p>
    <w:p w14:paraId="42B1F789">
      <w:pPr>
        <w:snapToGrid w:val="0"/>
        <w:spacing w:line="360" w:lineRule="auto"/>
        <w:ind w:firstLine="540" w:firstLineChars="192"/>
        <w:contextualSpacing/>
        <w:rPr>
          <w:rFonts w:ascii="仿宋" w:hAnsi="仿宋" w:eastAsia="仿宋"/>
          <w:b/>
          <w:kern w:val="0"/>
          <w:sz w:val="28"/>
          <w:szCs w:val="28"/>
          <w:highlight w:val="none"/>
        </w:rPr>
      </w:pPr>
    </w:p>
    <w:p w14:paraId="15BF6591">
      <w:pPr>
        <w:pStyle w:val="73"/>
        <w:rPr>
          <w:rFonts w:ascii="仿宋" w:hAnsi="仿宋" w:eastAsia="仿宋"/>
          <w:b/>
          <w:sz w:val="28"/>
          <w:szCs w:val="28"/>
          <w:highlight w:val="none"/>
        </w:rPr>
      </w:pPr>
    </w:p>
    <w:p w14:paraId="12FB1B76">
      <w:pPr>
        <w:snapToGrid w:val="0"/>
        <w:spacing w:line="360" w:lineRule="auto"/>
        <w:contextualSpacing/>
        <w:rPr>
          <w:rFonts w:ascii="仿宋" w:hAnsi="仿宋" w:eastAsia="仿宋"/>
          <w:b/>
          <w:kern w:val="0"/>
          <w:sz w:val="28"/>
          <w:szCs w:val="28"/>
          <w:highlight w:val="none"/>
        </w:rPr>
      </w:pPr>
    </w:p>
    <w:p w14:paraId="0FAA5823">
      <w:pPr>
        <w:spacing w:line="360" w:lineRule="auto"/>
        <w:jc w:val="center"/>
        <w:rPr>
          <w:rFonts w:ascii="仿宋" w:hAnsi="仿宋" w:eastAsia="仿宋"/>
          <w:b/>
          <w:bCs/>
          <w:sz w:val="32"/>
          <w:szCs w:val="32"/>
          <w:highlight w:val="none"/>
        </w:rPr>
      </w:pPr>
    </w:p>
    <w:p w14:paraId="61C4CFBE">
      <w:pPr>
        <w:spacing w:line="360" w:lineRule="auto"/>
        <w:jc w:val="center"/>
        <w:rPr>
          <w:rFonts w:ascii="仿宋" w:hAnsi="仿宋" w:eastAsia="仿宋"/>
          <w:b/>
          <w:bCs/>
          <w:sz w:val="32"/>
          <w:szCs w:val="32"/>
          <w:highlight w:val="none"/>
        </w:rPr>
      </w:pPr>
    </w:p>
    <w:p w14:paraId="6F9C4B2B">
      <w:pPr>
        <w:spacing w:line="360" w:lineRule="auto"/>
        <w:jc w:val="center"/>
        <w:rPr>
          <w:rFonts w:ascii="仿宋" w:hAnsi="仿宋" w:eastAsia="仿宋"/>
          <w:b/>
          <w:bCs/>
          <w:sz w:val="32"/>
          <w:szCs w:val="32"/>
          <w:highlight w:val="none"/>
        </w:rPr>
      </w:pPr>
    </w:p>
    <w:p w14:paraId="080FA51D">
      <w:pPr>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lang w:val="en-US" w:eastAsia="zh-CN"/>
        </w:rPr>
        <w:t>2.</w:t>
      </w:r>
      <w:r>
        <w:rPr>
          <w:rFonts w:hint="eastAsia" w:ascii="仿宋" w:hAnsi="仿宋" w:eastAsia="仿宋"/>
          <w:b/>
          <w:bCs/>
          <w:sz w:val="32"/>
          <w:szCs w:val="32"/>
          <w:highlight w:val="none"/>
        </w:rPr>
        <w:t>法定代表人身份证明</w:t>
      </w:r>
    </w:p>
    <w:p w14:paraId="29E41770">
      <w:pPr>
        <w:spacing w:line="360" w:lineRule="auto"/>
        <w:rPr>
          <w:rFonts w:ascii="仿宋" w:hAnsi="仿宋" w:eastAsia="仿宋"/>
          <w:sz w:val="24"/>
          <w:highlight w:val="none"/>
        </w:rPr>
      </w:pPr>
    </w:p>
    <w:p w14:paraId="6A3AB5FB">
      <w:pPr>
        <w:spacing w:line="360" w:lineRule="auto"/>
        <w:ind w:firstLine="480" w:firstLineChars="200"/>
        <w:rPr>
          <w:rFonts w:ascii="仿宋" w:hAnsi="仿宋" w:eastAsia="仿宋"/>
          <w:sz w:val="24"/>
          <w:highlight w:val="none"/>
          <w:u w:val="single"/>
        </w:rPr>
      </w:pPr>
      <w:r>
        <w:rPr>
          <w:rFonts w:hint="eastAsia" w:ascii="仿宋" w:hAnsi="仿宋" w:eastAsia="仿宋"/>
          <w:sz w:val="24"/>
          <w:highlight w:val="none"/>
          <w:u w:val="single"/>
        </w:rPr>
        <w:t xml:space="preserve">        </w:t>
      </w:r>
      <w:r>
        <w:rPr>
          <w:rFonts w:hint="eastAsia" w:ascii="仿宋" w:hAnsi="仿宋" w:eastAsia="仿宋"/>
          <w:sz w:val="24"/>
          <w:highlight w:val="none"/>
        </w:rPr>
        <w:t>先生/女士： 现任我单位</w:t>
      </w:r>
      <w:r>
        <w:rPr>
          <w:rFonts w:hint="eastAsia" w:ascii="仿宋" w:hAnsi="仿宋" w:eastAsia="仿宋"/>
          <w:sz w:val="24"/>
          <w:highlight w:val="none"/>
          <w:u w:val="single"/>
        </w:rPr>
        <w:t xml:space="preserve">        </w:t>
      </w:r>
      <w:r>
        <w:rPr>
          <w:rFonts w:hint="eastAsia" w:ascii="仿宋" w:hAnsi="仿宋" w:eastAsia="仿宋"/>
          <w:sz w:val="24"/>
          <w:highlight w:val="none"/>
        </w:rPr>
        <w:t>职务，为法定代表人，特此证明。</w:t>
      </w:r>
    </w:p>
    <w:p w14:paraId="24D96148">
      <w:pPr>
        <w:spacing w:line="360" w:lineRule="auto"/>
        <w:ind w:firstLine="480"/>
        <w:rPr>
          <w:rFonts w:ascii="仿宋" w:hAnsi="仿宋" w:eastAsia="仿宋"/>
          <w:sz w:val="24"/>
          <w:highlight w:val="none"/>
        </w:rPr>
      </w:pP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p>
    <w:p w14:paraId="6DA6DF1D">
      <w:pPr>
        <w:spacing w:line="360" w:lineRule="auto"/>
        <w:ind w:firstLine="480"/>
        <w:rPr>
          <w:rFonts w:ascii="仿宋" w:hAnsi="仿宋" w:eastAsia="仿宋"/>
          <w:sz w:val="24"/>
          <w:highlight w:val="none"/>
        </w:rPr>
      </w:pPr>
    </w:p>
    <w:p w14:paraId="5B46F229">
      <w:pPr>
        <w:spacing w:line="360" w:lineRule="auto"/>
        <w:rPr>
          <w:rFonts w:ascii="仿宋" w:hAnsi="仿宋" w:eastAsia="仿宋"/>
          <w:b/>
          <w:sz w:val="24"/>
          <w:highlight w:val="none"/>
        </w:rPr>
      </w:pPr>
      <w:r>
        <w:rPr>
          <w:rFonts w:hint="eastAsia" w:ascii="仿宋" w:hAnsi="仿宋" w:eastAsia="仿宋"/>
          <w:b/>
          <w:sz w:val="24"/>
          <w:highlight w:val="none"/>
        </w:rPr>
        <w:t>注：提供法定代表人的身份证复印件盖公章</w:t>
      </w:r>
    </w:p>
    <w:p w14:paraId="0BB90856">
      <w:pPr>
        <w:spacing w:line="360" w:lineRule="auto"/>
        <w:ind w:firstLine="480" w:firstLineChars="200"/>
        <w:rPr>
          <w:rFonts w:ascii="仿宋" w:hAnsi="仿宋" w:eastAsia="仿宋"/>
          <w:sz w:val="24"/>
          <w:highlight w:val="none"/>
        </w:rPr>
      </w:pPr>
    </w:p>
    <w:p w14:paraId="34C4F58C">
      <w:pPr>
        <w:spacing w:line="360" w:lineRule="auto"/>
        <w:rPr>
          <w:rFonts w:ascii="仿宋" w:hAnsi="仿宋" w:eastAsia="仿宋"/>
          <w:highlight w:val="none"/>
        </w:rPr>
      </w:pPr>
    </w:p>
    <w:p w14:paraId="03358057">
      <w:pPr>
        <w:snapToGrid w:val="0"/>
        <w:spacing w:line="360" w:lineRule="auto"/>
        <w:ind w:firstLine="540" w:firstLineChars="192"/>
        <w:contextualSpacing/>
        <w:rPr>
          <w:rFonts w:ascii="仿宋" w:hAnsi="仿宋" w:eastAsia="仿宋"/>
          <w:b/>
          <w:kern w:val="0"/>
          <w:sz w:val="28"/>
          <w:szCs w:val="28"/>
          <w:highlight w:val="none"/>
        </w:rPr>
      </w:pPr>
    </w:p>
    <w:p w14:paraId="096F24DD">
      <w:pPr>
        <w:snapToGrid w:val="0"/>
        <w:spacing w:line="360" w:lineRule="auto"/>
        <w:ind w:firstLine="540" w:firstLineChars="192"/>
        <w:contextualSpacing/>
        <w:rPr>
          <w:rFonts w:ascii="仿宋" w:hAnsi="仿宋" w:eastAsia="仿宋"/>
          <w:b/>
          <w:kern w:val="0"/>
          <w:sz w:val="28"/>
          <w:szCs w:val="28"/>
          <w:highlight w:val="none"/>
          <w:lang w:val="zh-CN"/>
        </w:rPr>
      </w:pPr>
    </w:p>
    <w:p w14:paraId="6E336861">
      <w:pPr>
        <w:snapToGrid w:val="0"/>
        <w:spacing w:line="360" w:lineRule="auto"/>
        <w:ind w:firstLine="540" w:firstLineChars="192"/>
        <w:contextualSpacing/>
        <w:rPr>
          <w:rFonts w:ascii="仿宋" w:hAnsi="仿宋" w:eastAsia="仿宋"/>
          <w:b/>
          <w:kern w:val="0"/>
          <w:sz w:val="28"/>
          <w:szCs w:val="28"/>
          <w:highlight w:val="none"/>
          <w:lang w:val="zh-CN"/>
        </w:rPr>
      </w:pPr>
    </w:p>
    <w:p w14:paraId="47CF4355">
      <w:pPr>
        <w:snapToGrid w:val="0"/>
        <w:spacing w:line="360" w:lineRule="auto"/>
        <w:ind w:firstLine="540" w:firstLineChars="192"/>
        <w:contextualSpacing/>
        <w:rPr>
          <w:rFonts w:ascii="仿宋" w:hAnsi="仿宋" w:eastAsia="仿宋"/>
          <w:b/>
          <w:kern w:val="0"/>
          <w:sz w:val="28"/>
          <w:szCs w:val="28"/>
          <w:highlight w:val="none"/>
          <w:lang w:val="zh-CN"/>
        </w:rPr>
      </w:pPr>
    </w:p>
    <w:p w14:paraId="3DF804C5">
      <w:pPr>
        <w:snapToGrid w:val="0"/>
        <w:spacing w:line="360" w:lineRule="auto"/>
        <w:ind w:firstLine="540" w:firstLineChars="192"/>
        <w:contextualSpacing/>
        <w:rPr>
          <w:rFonts w:ascii="仿宋" w:hAnsi="仿宋" w:eastAsia="仿宋"/>
          <w:b/>
          <w:kern w:val="0"/>
          <w:sz w:val="28"/>
          <w:szCs w:val="28"/>
          <w:highlight w:val="none"/>
          <w:lang w:val="zh-CN"/>
        </w:rPr>
      </w:pPr>
    </w:p>
    <w:p w14:paraId="763C3131">
      <w:pPr>
        <w:snapToGrid w:val="0"/>
        <w:spacing w:line="360" w:lineRule="auto"/>
        <w:ind w:firstLine="540" w:firstLineChars="192"/>
        <w:contextualSpacing/>
        <w:rPr>
          <w:rFonts w:ascii="仿宋" w:hAnsi="仿宋" w:eastAsia="仿宋"/>
          <w:b/>
          <w:kern w:val="0"/>
          <w:sz w:val="28"/>
          <w:szCs w:val="28"/>
          <w:highlight w:val="none"/>
          <w:lang w:val="zh-CN"/>
        </w:rPr>
      </w:pPr>
    </w:p>
    <w:p w14:paraId="5EA60F92">
      <w:pPr>
        <w:snapToGrid w:val="0"/>
        <w:spacing w:line="360" w:lineRule="auto"/>
        <w:ind w:firstLine="540" w:firstLineChars="192"/>
        <w:contextualSpacing/>
        <w:rPr>
          <w:rFonts w:ascii="仿宋" w:hAnsi="仿宋" w:eastAsia="仿宋"/>
          <w:b/>
          <w:kern w:val="0"/>
          <w:sz w:val="28"/>
          <w:szCs w:val="28"/>
          <w:highlight w:val="none"/>
          <w:lang w:val="zh-CN"/>
        </w:rPr>
      </w:pPr>
    </w:p>
    <w:p w14:paraId="27AE0A8E">
      <w:pPr>
        <w:snapToGrid w:val="0"/>
        <w:spacing w:line="360" w:lineRule="auto"/>
        <w:ind w:firstLine="540" w:firstLineChars="192"/>
        <w:contextualSpacing/>
        <w:rPr>
          <w:rFonts w:ascii="仿宋" w:hAnsi="仿宋" w:eastAsia="仿宋"/>
          <w:b/>
          <w:kern w:val="0"/>
          <w:sz w:val="28"/>
          <w:szCs w:val="28"/>
          <w:highlight w:val="none"/>
          <w:lang w:val="zh-CN"/>
        </w:rPr>
      </w:pPr>
    </w:p>
    <w:p w14:paraId="23A556C1">
      <w:pPr>
        <w:snapToGrid w:val="0"/>
        <w:spacing w:line="360" w:lineRule="auto"/>
        <w:ind w:firstLine="540" w:firstLineChars="192"/>
        <w:contextualSpacing/>
        <w:rPr>
          <w:rFonts w:ascii="仿宋" w:hAnsi="仿宋" w:eastAsia="仿宋"/>
          <w:b/>
          <w:kern w:val="0"/>
          <w:sz w:val="28"/>
          <w:szCs w:val="28"/>
          <w:highlight w:val="none"/>
          <w:lang w:val="zh-CN"/>
        </w:rPr>
      </w:pPr>
    </w:p>
    <w:p w14:paraId="1C049803">
      <w:pPr>
        <w:snapToGrid w:val="0"/>
        <w:spacing w:line="360" w:lineRule="auto"/>
        <w:ind w:firstLine="540" w:firstLineChars="192"/>
        <w:contextualSpacing/>
        <w:rPr>
          <w:rFonts w:ascii="仿宋" w:hAnsi="仿宋" w:eastAsia="仿宋"/>
          <w:b/>
          <w:kern w:val="0"/>
          <w:sz w:val="28"/>
          <w:szCs w:val="28"/>
          <w:highlight w:val="none"/>
          <w:lang w:val="zh-CN"/>
        </w:rPr>
      </w:pPr>
    </w:p>
    <w:p w14:paraId="51B256D7">
      <w:pPr>
        <w:snapToGrid w:val="0"/>
        <w:spacing w:line="360" w:lineRule="auto"/>
        <w:contextualSpacing/>
        <w:rPr>
          <w:rFonts w:ascii="仿宋" w:hAnsi="仿宋" w:eastAsia="仿宋"/>
          <w:kern w:val="0"/>
          <w:sz w:val="32"/>
          <w:szCs w:val="32"/>
          <w:highlight w:val="none"/>
          <w:lang w:val="zh-CN"/>
        </w:rPr>
      </w:pPr>
      <w:r>
        <w:rPr>
          <w:rFonts w:hint="eastAsia" w:ascii="仿宋" w:hAnsi="仿宋" w:eastAsia="仿宋"/>
          <w:kern w:val="0"/>
          <w:sz w:val="32"/>
          <w:szCs w:val="32"/>
          <w:highlight w:val="none"/>
          <w:lang w:val="zh-CN"/>
        </w:rPr>
        <w:br w:type="page"/>
      </w:r>
    </w:p>
    <w:p w14:paraId="38037A72">
      <w:pPr>
        <w:spacing w:line="360" w:lineRule="auto"/>
        <w:jc w:val="center"/>
        <w:rPr>
          <w:rFonts w:ascii="仿宋" w:hAnsi="仿宋" w:eastAsia="仿宋"/>
          <w:sz w:val="32"/>
          <w:szCs w:val="32"/>
          <w:highlight w:val="none"/>
        </w:rPr>
      </w:pPr>
    </w:p>
    <w:p w14:paraId="28ABBCD8">
      <w:pPr>
        <w:spacing w:line="360" w:lineRule="auto"/>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法定代表人授权委托书</w:t>
      </w:r>
    </w:p>
    <w:p w14:paraId="1830E86F">
      <w:pPr>
        <w:spacing w:line="360" w:lineRule="auto"/>
        <w:ind w:firstLine="560" w:firstLineChars="200"/>
        <w:rPr>
          <w:rFonts w:ascii="仿宋" w:hAnsi="仿宋" w:eastAsia="仿宋"/>
          <w:sz w:val="28"/>
          <w:szCs w:val="28"/>
          <w:highlight w:val="none"/>
        </w:rPr>
      </w:pPr>
    </w:p>
    <w:p w14:paraId="2B94E322">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人------（姓名）系————（授权单位名称）的法定代表人，现委托-------（姓名）（身份证号——————）为我方代理人，以我方名义全权处理与本次采购项目（编号：----------）有关的一切事务，其法律后果由我方承担。</w:t>
      </w:r>
    </w:p>
    <w:p w14:paraId="111B6F5C">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本授权书于---年---月---日起生效。代理人无转委托权。</w:t>
      </w:r>
    </w:p>
    <w:p w14:paraId="11DC526C">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代理人(被授权人):------</w:t>
      </w:r>
    </w:p>
    <w:p w14:paraId="70ADC520">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授权单位名称（盖章）：-----</w:t>
      </w:r>
    </w:p>
    <w:p w14:paraId="7BB76BB5">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授权单位法定代表人（签字或盖章）：-----</w:t>
      </w:r>
    </w:p>
    <w:p w14:paraId="707D3D35">
      <w:pPr>
        <w:spacing w:line="360" w:lineRule="auto"/>
        <w:ind w:firstLine="560" w:firstLineChars="200"/>
        <w:jc w:val="right"/>
        <w:rPr>
          <w:rFonts w:ascii="仿宋" w:hAnsi="仿宋" w:eastAsia="仿宋"/>
          <w:sz w:val="28"/>
          <w:szCs w:val="28"/>
          <w:highlight w:val="none"/>
        </w:rPr>
      </w:pPr>
    </w:p>
    <w:p w14:paraId="1E2B99D6">
      <w:pPr>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XXXX年XX月XX日</w:t>
      </w:r>
    </w:p>
    <w:p w14:paraId="7F0374D0">
      <w:pPr>
        <w:snapToGrid w:val="0"/>
        <w:spacing w:line="360" w:lineRule="auto"/>
        <w:ind w:firstLine="562" w:firstLineChars="200"/>
        <w:contextualSpacing/>
        <w:rPr>
          <w:rFonts w:ascii="仿宋" w:hAnsi="仿宋" w:eastAsia="仿宋"/>
          <w:b/>
          <w:kern w:val="0"/>
          <w:sz w:val="28"/>
          <w:szCs w:val="28"/>
          <w:highlight w:val="none"/>
        </w:rPr>
      </w:pPr>
    </w:p>
    <w:p w14:paraId="23A9206D">
      <w:pPr>
        <w:snapToGrid w:val="0"/>
        <w:spacing w:line="360" w:lineRule="auto"/>
        <w:ind w:firstLine="562" w:firstLineChars="200"/>
        <w:contextualSpacing/>
        <w:rPr>
          <w:rFonts w:ascii="仿宋" w:hAnsi="仿宋" w:eastAsia="仿宋"/>
          <w:b/>
          <w:kern w:val="0"/>
          <w:sz w:val="28"/>
          <w:szCs w:val="28"/>
          <w:highlight w:val="none"/>
        </w:rPr>
      </w:pPr>
      <w:r>
        <w:rPr>
          <w:rFonts w:hint="eastAsia" w:ascii="仿宋" w:hAnsi="仿宋" w:eastAsia="仿宋"/>
          <w:b/>
          <w:kern w:val="0"/>
          <w:sz w:val="28"/>
          <w:szCs w:val="28"/>
          <w:highlight w:val="none"/>
        </w:rPr>
        <w:t>注：提供投标代表本人身份证复印件盖公章</w:t>
      </w:r>
    </w:p>
    <w:p w14:paraId="200EFD9C">
      <w:pPr>
        <w:snapToGrid w:val="0"/>
        <w:spacing w:line="360" w:lineRule="auto"/>
        <w:ind w:firstLine="562" w:firstLineChars="200"/>
        <w:contextualSpacing/>
        <w:rPr>
          <w:rFonts w:ascii="仿宋" w:hAnsi="仿宋" w:eastAsia="仿宋"/>
          <w:b/>
          <w:kern w:val="0"/>
          <w:sz w:val="28"/>
          <w:szCs w:val="28"/>
          <w:highlight w:val="none"/>
        </w:rPr>
      </w:pPr>
    </w:p>
    <w:p w14:paraId="4B08AC9F">
      <w:pPr>
        <w:snapToGrid w:val="0"/>
        <w:spacing w:line="360" w:lineRule="auto"/>
        <w:ind w:firstLine="540" w:firstLineChars="192"/>
        <w:contextualSpacing/>
        <w:rPr>
          <w:rFonts w:ascii="仿宋" w:hAnsi="仿宋" w:eastAsia="仿宋"/>
          <w:b/>
          <w:kern w:val="0"/>
          <w:sz w:val="28"/>
          <w:szCs w:val="28"/>
          <w:highlight w:val="none"/>
        </w:rPr>
      </w:pPr>
    </w:p>
    <w:p w14:paraId="644DB28A">
      <w:pPr>
        <w:snapToGrid w:val="0"/>
        <w:spacing w:line="360" w:lineRule="auto"/>
        <w:ind w:firstLine="540" w:firstLineChars="192"/>
        <w:contextualSpacing/>
        <w:rPr>
          <w:rFonts w:ascii="仿宋" w:hAnsi="仿宋" w:eastAsia="仿宋"/>
          <w:b/>
          <w:kern w:val="0"/>
          <w:sz w:val="28"/>
          <w:szCs w:val="28"/>
          <w:highlight w:val="none"/>
        </w:rPr>
      </w:pPr>
    </w:p>
    <w:p w14:paraId="05625E39">
      <w:pPr>
        <w:snapToGrid w:val="0"/>
        <w:spacing w:line="360" w:lineRule="auto"/>
        <w:ind w:firstLine="540" w:firstLineChars="192"/>
        <w:contextualSpacing/>
        <w:rPr>
          <w:rFonts w:ascii="仿宋" w:hAnsi="仿宋" w:eastAsia="仿宋"/>
          <w:b/>
          <w:kern w:val="0"/>
          <w:sz w:val="28"/>
          <w:szCs w:val="28"/>
          <w:highlight w:val="none"/>
        </w:rPr>
      </w:pPr>
    </w:p>
    <w:p w14:paraId="122F25B7">
      <w:pPr>
        <w:snapToGrid w:val="0"/>
        <w:spacing w:line="360" w:lineRule="auto"/>
        <w:ind w:firstLine="540" w:firstLineChars="192"/>
        <w:contextualSpacing/>
        <w:rPr>
          <w:rFonts w:ascii="仿宋" w:hAnsi="仿宋" w:eastAsia="仿宋"/>
          <w:b/>
          <w:kern w:val="0"/>
          <w:sz w:val="28"/>
          <w:szCs w:val="28"/>
          <w:highlight w:val="none"/>
        </w:rPr>
      </w:pPr>
    </w:p>
    <w:p w14:paraId="0638C33D">
      <w:pPr>
        <w:snapToGrid w:val="0"/>
        <w:spacing w:line="360" w:lineRule="auto"/>
        <w:ind w:firstLine="540" w:firstLineChars="192"/>
        <w:contextualSpacing/>
        <w:rPr>
          <w:rFonts w:ascii="仿宋" w:hAnsi="仿宋" w:eastAsia="仿宋"/>
          <w:b/>
          <w:kern w:val="0"/>
          <w:sz w:val="28"/>
          <w:szCs w:val="28"/>
          <w:highlight w:val="none"/>
        </w:rPr>
      </w:pPr>
    </w:p>
    <w:p w14:paraId="2AB3EFEA">
      <w:pPr>
        <w:snapToGrid w:val="0"/>
        <w:spacing w:line="360" w:lineRule="auto"/>
        <w:ind w:firstLine="540" w:firstLineChars="192"/>
        <w:contextualSpacing/>
        <w:rPr>
          <w:rFonts w:ascii="仿宋" w:hAnsi="仿宋" w:eastAsia="仿宋"/>
          <w:b/>
          <w:kern w:val="0"/>
          <w:sz w:val="28"/>
          <w:szCs w:val="28"/>
          <w:highlight w:val="none"/>
        </w:rPr>
      </w:pPr>
    </w:p>
    <w:p w14:paraId="3DCAF958">
      <w:pPr>
        <w:snapToGrid w:val="0"/>
        <w:spacing w:line="360" w:lineRule="auto"/>
        <w:contextualSpacing/>
        <w:jc w:val="left"/>
        <w:rPr>
          <w:rFonts w:ascii="仿宋" w:hAnsi="仿宋" w:eastAsia="仿宋"/>
          <w:kern w:val="0"/>
          <w:sz w:val="32"/>
          <w:szCs w:val="32"/>
          <w:highlight w:val="none"/>
        </w:rPr>
      </w:pPr>
      <w:r>
        <w:rPr>
          <w:rFonts w:hint="eastAsia" w:ascii="仿宋" w:hAnsi="仿宋" w:eastAsia="仿宋"/>
          <w:kern w:val="0"/>
          <w:sz w:val="32"/>
          <w:szCs w:val="32"/>
          <w:highlight w:val="none"/>
        </w:rPr>
        <w:br w:type="page"/>
      </w: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p>
    <w:p w14:paraId="66BA7E27">
      <w:pPr>
        <w:tabs>
          <w:tab w:val="left" w:pos="1260"/>
        </w:tabs>
        <w:snapToGrid w:val="0"/>
        <w:spacing w:line="30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供应商情况一览表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20E0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10C453DE">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7923" w:type="dxa"/>
            <w:gridSpan w:val="10"/>
            <w:tcBorders>
              <w:top w:val="double" w:color="auto" w:sz="4" w:space="0"/>
              <w:right w:val="double" w:color="auto" w:sz="4" w:space="0"/>
            </w:tcBorders>
            <w:noWrap w:val="0"/>
            <w:vAlign w:val="center"/>
          </w:tcPr>
          <w:p w14:paraId="39E2CC6F">
            <w:pPr>
              <w:tabs>
                <w:tab w:val="left" w:pos="4320"/>
              </w:tabs>
              <w:rPr>
                <w:rFonts w:hint="eastAsia" w:ascii="仿宋" w:hAnsi="仿宋" w:eastAsia="仿宋" w:cs="仿宋"/>
                <w:color w:val="auto"/>
                <w:sz w:val="24"/>
                <w:highlight w:val="none"/>
              </w:rPr>
            </w:pPr>
          </w:p>
        </w:tc>
      </w:tr>
      <w:tr w14:paraId="01AE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104FE754">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单位优势及特长</w:t>
            </w:r>
          </w:p>
        </w:tc>
        <w:tc>
          <w:tcPr>
            <w:tcW w:w="7072" w:type="dxa"/>
            <w:gridSpan w:val="9"/>
            <w:tcBorders>
              <w:left w:val="single" w:color="auto" w:sz="4" w:space="0"/>
              <w:right w:val="double" w:color="auto" w:sz="4" w:space="0"/>
            </w:tcBorders>
            <w:noWrap w:val="0"/>
            <w:vAlign w:val="center"/>
          </w:tcPr>
          <w:p w14:paraId="1D403D0D">
            <w:pPr>
              <w:tabs>
                <w:tab w:val="left" w:pos="4320"/>
              </w:tabs>
              <w:rPr>
                <w:rFonts w:hint="eastAsia" w:ascii="仿宋" w:hAnsi="仿宋" w:eastAsia="仿宋" w:cs="仿宋"/>
                <w:color w:val="auto"/>
                <w:sz w:val="24"/>
                <w:highlight w:val="none"/>
              </w:rPr>
            </w:pPr>
          </w:p>
        </w:tc>
      </w:tr>
      <w:tr w14:paraId="7D04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16EA2C1">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p w14:paraId="1C18FD68">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概况</w:t>
            </w:r>
          </w:p>
        </w:tc>
        <w:tc>
          <w:tcPr>
            <w:tcW w:w="1276" w:type="dxa"/>
            <w:gridSpan w:val="2"/>
            <w:noWrap w:val="0"/>
            <w:vAlign w:val="center"/>
          </w:tcPr>
          <w:p w14:paraId="766EFD9C">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职工总数</w:t>
            </w:r>
          </w:p>
        </w:tc>
        <w:tc>
          <w:tcPr>
            <w:tcW w:w="1417" w:type="dxa"/>
            <w:gridSpan w:val="2"/>
            <w:noWrap w:val="0"/>
            <w:vAlign w:val="center"/>
          </w:tcPr>
          <w:p w14:paraId="46AEDA72">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人</w:t>
            </w:r>
          </w:p>
        </w:tc>
        <w:tc>
          <w:tcPr>
            <w:tcW w:w="567" w:type="dxa"/>
            <w:vMerge w:val="restart"/>
            <w:noWrap w:val="0"/>
            <w:vAlign w:val="center"/>
          </w:tcPr>
          <w:p w14:paraId="7C93D4B2">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上一年主要经济指标</w:t>
            </w:r>
          </w:p>
        </w:tc>
        <w:tc>
          <w:tcPr>
            <w:tcW w:w="946" w:type="dxa"/>
            <w:noWrap w:val="0"/>
            <w:vAlign w:val="center"/>
          </w:tcPr>
          <w:p w14:paraId="4302B0DA">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营业额</w:t>
            </w:r>
          </w:p>
        </w:tc>
        <w:tc>
          <w:tcPr>
            <w:tcW w:w="1414" w:type="dxa"/>
            <w:gridSpan w:val="2"/>
            <w:noWrap w:val="0"/>
            <w:vAlign w:val="center"/>
          </w:tcPr>
          <w:p w14:paraId="12142B0E">
            <w:pPr>
              <w:tabs>
                <w:tab w:val="left" w:pos="4320"/>
              </w:tabs>
              <w:rPr>
                <w:rFonts w:hint="eastAsia" w:ascii="仿宋" w:hAnsi="仿宋" w:eastAsia="仿宋" w:cs="仿宋"/>
                <w:color w:val="auto"/>
                <w:sz w:val="24"/>
                <w:highlight w:val="none"/>
              </w:rPr>
            </w:pPr>
          </w:p>
        </w:tc>
        <w:tc>
          <w:tcPr>
            <w:tcW w:w="1184" w:type="dxa"/>
            <w:gridSpan w:val="2"/>
            <w:noWrap w:val="0"/>
            <w:vAlign w:val="center"/>
          </w:tcPr>
          <w:p w14:paraId="44265DD2">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实现利润</w:t>
            </w:r>
          </w:p>
        </w:tc>
        <w:tc>
          <w:tcPr>
            <w:tcW w:w="1544" w:type="dxa"/>
            <w:tcBorders>
              <w:right w:val="double" w:color="auto" w:sz="4" w:space="0"/>
            </w:tcBorders>
            <w:noWrap w:val="0"/>
            <w:vAlign w:val="center"/>
          </w:tcPr>
          <w:p w14:paraId="047AA0F3">
            <w:pPr>
              <w:tabs>
                <w:tab w:val="left" w:pos="4320"/>
              </w:tabs>
              <w:rPr>
                <w:rFonts w:hint="eastAsia" w:ascii="仿宋" w:hAnsi="仿宋" w:eastAsia="仿宋" w:cs="仿宋"/>
                <w:color w:val="auto"/>
                <w:sz w:val="24"/>
                <w:highlight w:val="none"/>
              </w:rPr>
            </w:pPr>
          </w:p>
        </w:tc>
      </w:tr>
      <w:tr w14:paraId="6AC3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C44578C">
            <w:pPr>
              <w:tabs>
                <w:tab w:val="left" w:pos="4320"/>
              </w:tabs>
              <w:ind w:left="266" w:hanging="266" w:hangingChars="111"/>
              <w:rPr>
                <w:rFonts w:hint="eastAsia" w:ascii="仿宋" w:hAnsi="仿宋" w:eastAsia="仿宋" w:cs="仿宋"/>
                <w:color w:val="auto"/>
                <w:sz w:val="24"/>
                <w:highlight w:val="none"/>
              </w:rPr>
            </w:pPr>
          </w:p>
        </w:tc>
        <w:tc>
          <w:tcPr>
            <w:tcW w:w="1276" w:type="dxa"/>
            <w:gridSpan w:val="2"/>
            <w:noWrap w:val="0"/>
            <w:vAlign w:val="center"/>
          </w:tcPr>
          <w:p w14:paraId="749EDE18">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流动资金</w:t>
            </w:r>
          </w:p>
        </w:tc>
        <w:tc>
          <w:tcPr>
            <w:tcW w:w="1417" w:type="dxa"/>
            <w:gridSpan w:val="2"/>
            <w:noWrap w:val="0"/>
            <w:vAlign w:val="center"/>
          </w:tcPr>
          <w:p w14:paraId="77AE7F42">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567" w:type="dxa"/>
            <w:vMerge w:val="continue"/>
            <w:noWrap w:val="0"/>
            <w:vAlign w:val="center"/>
          </w:tcPr>
          <w:p w14:paraId="17ACF08F">
            <w:pPr>
              <w:tabs>
                <w:tab w:val="left" w:pos="4320"/>
              </w:tabs>
              <w:rPr>
                <w:rFonts w:hint="eastAsia" w:ascii="仿宋" w:hAnsi="仿宋" w:eastAsia="仿宋" w:cs="仿宋"/>
                <w:color w:val="auto"/>
                <w:sz w:val="24"/>
                <w:highlight w:val="none"/>
              </w:rPr>
            </w:pPr>
          </w:p>
        </w:tc>
        <w:tc>
          <w:tcPr>
            <w:tcW w:w="946" w:type="dxa"/>
            <w:vMerge w:val="restart"/>
            <w:noWrap w:val="0"/>
            <w:vAlign w:val="center"/>
          </w:tcPr>
          <w:p w14:paraId="34B04A47">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w:t>
            </w:r>
          </w:p>
          <w:p w14:paraId="1C4FF569">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tc>
        <w:tc>
          <w:tcPr>
            <w:tcW w:w="4142" w:type="dxa"/>
            <w:gridSpan w:val="5"/>
            <w:tcBorders>
              <w:right w:val="double" w:color="auto" w:sz="4" w:space="0"/>
            </w:tcBorders>
            <w:noWrap w:val="0"/>
            <w:vAlign w:val="center"/>
          </w:tcPr>
          <w:p w14:paraId="14709371">
            <w:pPr>
              <w:tabs>
                <w:tab w:val="left" w:pos="4320"/>
              </w:tabs>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73B6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722DC874">
            <w:pPr>
              <w:tabs>
                <w:tab w:val="left" w:pos="4320"/>
              </w:tabs>
              <w:ind w:left="266" w:hanging="266" w:hangingChars="111"/>
              <w:rPr>
                <w:rFonts w:hint="eastAsia" w:ascii="仿宋" w:hAnsi="仿宋" w:eastAsia="仿宋" w:cs="仿宋"/>
                <w:color w:val="auto"/>
                <w:sz w:val="24"/>
                <w:highlight w:val="none"/>
              </w:rPr>
            </w:pPr>
          </w:p>
        </w:tc>
        <w:tc>
          <w:tcPr>
            <w:tcW w:w="1276" w:type="dxa"/>
            <w:gridSpan w:val="2"/>
            <w:noWrap w:val="0"/>
            <w:vAlign w:val="center"/>
          </w:tcPr>
          <w:p w14:paraId="514B23E7">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固定资产</w:t>
            </w:r>
          </w:p>
          <w:p w14:paraId="332F24EF">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417" w:type="dxa"/>
            <w:gridSpan w:val="2"/>
            <w:noWrap w:val="0"/>
            <w:vAlign w:val="center"/>
          </w:tcPr>
          <w:p w14:paraId="220102D8">
            <w:pPr>
              <w:tabs>
                <w:tab w:val="left" w:pos="-48"/>
                <w:tab w:val="left" w:pos="4320"/>
              </w:tabs>
              <w:ind w:right="-133" w:hanging="48"/>
              <w:rPr>
                <w:rFonts w:hint="eastAsia" w:ascii="仿宋" w:hAnsi="仿宋" w:eastAsia="仿宋" w:cs="仿宋"/>
                <w:color w:val="auto"/>
                <w:sz w:val="24"/>
                <w:highlight w:val="none"/>
              </w:rPr>
            </w:pPr>
            <w:r>
              <w:rPr>
                <w:rFonts w:hint="eastAsia" w:ascii="仿宋" w:hAnsi="仿宋" w:eastAsia="仿宋" w:cs="仿宋"/>
                <w:color w:val="auto"/>
                <w:sz w:val="24"/>
                <w:highlight w:val="none"/>
              </w:rPr>
              <w:t>原值：</w:t>
            </w:r>
          </w:p>
          <w:p w14:paraId="6FE527F5">
            <w:pPr>
              <w:tabs>
                <w:tab w:val="left" w:pos="-48"/>
                <w:tab w:val="left" w:pos="4320"/>
              </w:tabs>
              <w:ind w:hanging="48"/>
              <w:jc w:val="right"/>
              <w:rPr>
                <w:rFonts w:hint="eastAsia" w:ascii="仿宋" w:hAnsi="仿宋" w:eastAsia="仿宋" w:cs="仿宋"/>
                <w:color w:val="auto"/>
                <w:sz w:val="24"/>
                <w:highlight w:val="none"/>
              </w:rPr>
            </w:pPr>
          </w:p>
          <w:p w14:paraId="27DD3700">
            <w:pPr>
              <w:tabs>
                <w:tab w:val="left" w:pos="-48"/>
                <w:tab w:val="left" w:pos="4320"/>
              </w:tabs>
              <w:ind w:right="-133" w:hanging="48"/>
              <w:rPr>
                <w:rFonts w:hint="eastAsia" w:ascii="仿宋" w:hAnsi="仿宋" w:eastAsia="仿宋" w:cs="仿宋"/>
                <w:color w:val="auto"/>
                <w:sz w:val="24"/>
                <w:highlight w:val="none"/>
              </w:rPr>
            </w:pPr>
            <w:r>
              <w:rPr>
                <w:rFonts w:hint="eastAsia" w:ascii="仿宋" w:hAnsi="仿宋" w:eastAsia="仿宋" w:cs="仿宋"/>
                <w:color w:val="auto"/>
                <w:sz w:val="24"/>
                <w:highlight w:val="none"/>
              </w:rPr>
              <w:t>净值：</w:t>
            </w:r>
          </w:p>
          <w:p w14:paraId="77D08197">
            <w:pPr>
              <w:tabs>
                <w:tab w:val="left" w:pos="-48"/>
                <w:tab w:val="left" w:pos="4320"/>
              </w:tabs>
              <w:ind w:hanging="48"/>
              <w:jc w:val="right"/>
              <w:rPr>
                <w:rFonts w:hint="eastAsia" w:ascii="仿宋" w:hAnsi="仿宋" w:eastAsia="仿宋" w:cs="仿宋"/>
                <w:color w:val="auto"/>
                <w:sz w:val="24"/>
                <w:highlight w:val="none"/>
              </w:rPr>
            </w:pPr>
          </w:p>
        </w:tc>
        <w:tc>
          <w:tcPr>
            <w:tcW w:w="567" w:type="dxa"/>
            <w:vMerge w:val="continue"/>
            <w:noWrap w:val="0"/>
            <w:vAlign w:val="center"/>
          </w:tcPr>
          <w:p w14:paraId="0A9F5680">
            <w:pPr>
              <w:tabs>
                <w:tab w:val="left" w:pos="4320"/>
              </w:tabs>
              <w:rPr>
                <w:rFonts w:hint="eastAsia" w:ascii="仿宋" w:hAnsi="仿宋" w:eastAsia="仿宋" w:cs="仿宋"/>
                <w:color w:val="auto"/>
                <w:sz w:val="24"/>
                <w:highlight w:val="none"/>
              </w:rPr>
            </w:pPr>
          </w:p>
        </w:tc>
        <w:tc>
          <w:tcPr>
            <w:tcW w:w="946" w:type="dxa"/>
            <w:vMerge w:val="continue"/>
            <w:noWrap w:val="0"/>
            <w:vAlign w:val="center"/>
          </w:tcPr>
          <w:p w14:paraId="414F09CB">
            <w:pPr>
              <w:tabs>
                <w:tab w:val="left" w:pos="4320"/>
              </w:tabs>
              <w:jc w:val="center"/>
              <w:rPr>
                <w:rFonts w:hint="eastAsia" w:ascii="仿宋" w:hAnsi="仿宋" w:eastAsia="仿宋" w:cs="仿宋"/>
                <w:color w:val="auto"/>
                <w:sz w:val="24"/>
                <w:highlight w:val="none"/>
              </w:rPr>
            </w:pPr>
          </w:p>
        </w:tc>
        <w:tc>
          <w:tcPr>
            <w:tcW w:w="4142" w:type="dxa"/>
            <w:gridSpan w:val="5"/>
            <w:tcBorders>
              <w:right w:val="double" w:color="auto" w:sz="4" w:space="0"/>
            </w:tcBorders>
            <w:noWrap w:val="0"/>
            <w:vAlign w:val="center"/>
          </w:tcPr>
          <w:p w14:paraId="03BCEF69">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3193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B6207D9">
            <w:pPr>
              <w:tabs>
                <w:tab w:val="left" w:pos="4320"/>
              </w:tabs>
              <w:ind w:left="266" w:hanging="266" w:hangingChars="111"/>
              <w:rPr>
                <w:rFonts w:hint="eastAsia" w:ascii="仿宋" w:hAnsi="仿宋" w:eastAsia="仿宋" w:cs="仿宋"/>
                <w:color w:val="auto"/>
                <w:sz w:val="24"/>
                <w:highlight w:val="none"/>
              </w:rPr>
            </w:pPr>
          </w:p>
        </w:tc>
        <w:tc>
          <w:tcPr>
            <w:tcW w:w="1276" w:type="dxa"/>
            <w:gridSpan w:val="2"/>
            <w:noWrap w:val="0"/>
            <w:vAlign w:val="center"/>
          </w:tcPr>
          <w:p w14:paraId="3017DFE2">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占地面积</w:t>
            </w:r>
          </w:p>
        </w:tc>
        <w:tc>
          <w:tcPr>
            <w:tcW w:w="1417" w:type="dxa"/>
            <w:gridSpan w:val="2"/>
            <w:noWrap w:val="0"/>
            <w:vAlign w:val="center"/>
          </w:tcPr>
          <w:p w14:paraId="1516F048">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567" w:type="dxa"/>
            <w:vMerge w:val="continue"/>
            <w:noWrap w:val="0"/>
            <w:vAlign w:val="center"/>
          </w:tcPr>
          <w:p w14:paraId="302FE2BB">
            <w:pPr>
              <w:tabs>
                <w:tab w:val="left" w:pos="4320"/>
              </w:tabs>
              <w:rPr>
                <w:rFonts w:hint="eastAsia" w:ascii="仿宋" w:hAnsi="仿宋" w:eastAsia="仿宋" w:cs="仿宋"/>
                <w:color w:val="auto"/>
                <w:sz w:val="24"/>
                <w:highlight w:val="none"/>
              </w:rPr>
            </w:pPr>
          </w:p>
        </w:tc>
        <w:tc>
          <w:tcPr>
            <w:tcW w:w="946" w:type="dxa"/>
            <w:vMerge w:val="continue"/>
            <w:noWrap w:val="0"/>
            <w:vAlign w:val="center"/>
          </w:tcPr>
          <w:p w14:paraId="637BF859">
            <w:pPr>
              <w:tabs>
                <w:tab w:val="left" w:pos="4320"/>
              </w:tabs>
              <w:jc w:val="center"/>
              <w:rPr>
                <w:rFonts w:hint="eastAsia" w:ascii="仿宋" w:hAnsi="仿宋" w:eastAsia="仿宋" w:cs="仿宋"/>
                <w:color w:val="auto"/>
                <w:sz w:val="24"/>
                <w:highlight w:val="none"/>
              </w:rPr>
            </w:pPr>
          </w:p>
        </w:tc>
        <w:tc>
          <w:tcPr>
            <w:tcW w:w="4142" w:type="dxa"/>
            <w:gridSpan w:val="5"/>
            <w:tcBorders>
              <w:right w:val="double" w:color="auto" w:sz="4" w:space="0"/>
            </w:tcBorders>
            <w:noWrap w:val="0"/>
            <w:vAlign w:val="center"/>
          </w:tcPr>
          <w:p w14:paraId="63C16252">
            <w:pPr>
              <w:tabs>
                <w:tab w:val="left" w:pos="4320"/>
              </w:tabs>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3125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04718A28">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本次</w:t>
            </w:r>
          </w:p>
          <w:p w14:paraId="46CB8D6A">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p>
          <w:p w14:paraId="0B04A011">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14:paraId="43BA1E8A">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p>
        </w:tc>
        <w:tc>
          <w:tcPr>
            <w:tcW w:w="1643" w:type="dxa"/>
            <w:gridSpan w:val="3"/>
            <w:noWrap w:val="0"/>
            <w:vAlign w:val="center"/>
          </w:tcPr>
          <w:p w14:paraId="748CE5D7">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本次投标</w:t>
            </w:r>
          </w:p>
          <w:p w14:paraId="063E1F7F">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1617" w:type="dxa"/>
            <w:gridSpan w:val="2"/>
            <w:noWrap w:val="0"/>
            <w:vAlign w:val="center"/>
          </w:tcPr>
          <w:p w14:paraId="28D73BD5">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    号</w:t>
            </w:r>
          </w:p>
        </w:tc>
        <w:tc>
          <w:tcPr>
            <w:tcW w:w="946" w:type="dxa"/>
            <w:noWrap w:val="0"/>
            <w:vAlign w:val="center"/>
          </w:tcPr>
          <w:p w14:paraId="51427D4C">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上年</w:t>
            </w:r>
          </w:p>
          <w:p w14:paraId="135DC47D">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产销量</w:t>
            </w:r>
          </w:p>
        </w:tc>
        <w:tc>
          <w:tcPr>
            <w:tcW w:w="1263" w:type="dxa"/>
            <w:noWrap w:val="0"/>
            <w:vAlign w:val="center"/>
          </w:tcPr>
          <w:p w14:paraId="4F30BB20">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产品技术</w:t>
            </w:r>
          </w:p>
          <w:p w14:paraId="3398DD26">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先进水平</w:t>
            </w:r>
          </w:p>
        </w:tc>
        <w:tc>
          <w:tcPr>
            <w:tcW w:w="1273" w:type="dxa"/>
            <w:gridSpan w:val="2"/>
            <w:noWrap w:val="0"/>
            <w:vAlign w:val="center"/>
          </w:tcPr>
          <w:p w14:paraId="076F1992">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曾获何级</w:t>
            </w:r>
          </w:p>
          <w:p w14:paraId="7142A74C">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何种奖励</w:t>
            </w:r>
          </w:p>
        </w:tc>
        <w:tc>
          <w:tcPr>
            <w:tcW w:w="1606" w:type="dxa"/>
            <w:gridSpan w:val="2"/>
            <w:tcBorders>
              <w:right w:val="double" w:color="auto" w:sz="4" w:space="0"/>
            </w:tcBorders>
            <w:noWrap w:val="0"/>
            <w:vAlign w:val="center"/>
          </w:tcPr>
          <w:p w14:paraId="1FF6D147">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主要用户</w:t>
            </w:r>
          </w:p>
          <w:p w14:paraId="628B66AF">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r>
      <w:tr w14:paraId="1D84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0F3C086">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261012D7">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338CD94B">
            <w:pPr>
              <w:tabs>
                <w:tab w:val="left" w:pos="4320"/>
              </w:tabs>
              <w:rPr>
                <w:rFonts w:hint="eastAsia" w:ascii="仿宋" w:hAnsi="仿宋" w:eastAsia="仿宋" w:cs="仿宋"/>
                <w:color w:val="auto"/>
                <w:sz w:val="24"/>
                <w:highlight w:val="none"/>
              </w:rPr>
            </w:pPr>
          </w:p>
        </w:tc>
        <w:tc>
          <w:tcPr>
            <w:tcW w:w="946" w:type="dxa"/>
            <w:noWrap w:val="0"/>
            <w:vAlign w:val="center"/>
          </w:tcPr>
          <w:p w14:paraId="07BCF8B1">
            <w:pPr>
              <w:tabs>
                <w:tab w:val="left" w:pos="4320"/>
              </w:tabs>
              <w:rPr>
                <w:rFonts w:hint="eastAsia" w:ascii="仿宋" w:hAnsi="仿宋" w:eastAsia="仿宋" w:cs="仿宋"/>
                <w:color w:val="auto"/>
                <w:sz w:val="24"/>
                <w:highlight w:val="none"/>
              </w:rPr>
            </w:pPr>
          </w:p>
        </w:tc>
        <w:tc>
          <w:tcPr>
            <w:tcW w:w="1263" w:type="dxa"/>
            <w:noWrap w:val="0"/>
            <w:vAlign w:val="center"/>
          </w:tcPr>
          <w:p w14:paraId="409A7531">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47E4821F">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1E8B4A64">
            <w:pPr>
              <w:tabs>
                <w:tab w:val="left" w:pos="4320"/>
              </w:tabs>
              <w:rPr>
                <w:rFonts w:hint="eastAsia" w:ascii="仿宋" w:hAnsi="仿宋" w:eastAsia="仿宋" w:cs="仿宋"/>
                <w:color w:val="auto"/>
                <w:sz w:val="24"/>
                <w:highlight w:val="none"/>
              </w:rPr>
            </w:pPr>
          </w:p>
        </w:tc>
      </w:tr>
      <w:tr w14:paraId="0309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BD6CFA8">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4B5CE11A">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11C2C40D">
            <w:pPr>
              <w:tabs>
                <w:tab w:val="left" w:pos="4320"/>
              </w:tabs>
              <w:rPr>
                <w:rFonts w:hint="eastAsia" w:ascii="仿宋" w:hAnsi="仿宋" w:eastAsia="仿宋" w:cs="仿宋"/>
                <w:color w:val="auto"/>
                <w:sz w:val="24"/>
                <w:highlight w:val="none"/>
              </w:rPr>
            </w:pPr>
          </w:p>
        </w:tc>
        <w:tc>
          <w:tcPr>
            <w:tcW w:w="946" w:type="dxa"/>
            <w:noWrap w:val="0"/>
            <w:vAlign w:val="center"/>
          </w:tcPr>
          <w:p w14:paraId="2B18F395">
            <w:pPr>
              <w:tabs>
                <w:tab w:val="left" w:pos="4320"/>
              </w:tabs>
              <w:rPr>
                <w:rFonts w:hint="eastAsia" w:ascii="仿宋" w:hAnsi="仿宋" w:eastAsia="仿宋" w:cs="仿宋"/>
                <w:color w:val="auto"/>
                <w:sz w:val="24"/>
                <w:highlight w:val="none"/>
              </w:rPr>
            </w:pPr>
          </w:p>
        </w:tc>
        <w:tc>
          <w:tcPr>
            <w:tcW w:w="1263" w:type="dxa"/>
            <w:noWrap w:val="0"/>
            <w:vAlign w:val="center"/>
          </w:tcPr>
          <w:p w14:paraId="020C4B43">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64046A20">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1E09E5EF">
            <w:pPr>
              <w:tabs>
                <w:tab w:val="left" w:pos="4320"/>
              </w:tabs>
              <w:rPr>
                <w:rFonts w:hint="eastAsia" w:ascii="仿宋" w:hAnsi="仿宋" w:eastAsia="仿宋" w:cs="仿宋"/>
                <w:color w:val="auto"/>
                <w:sz w:val="24"/>
                <w:highlight w:val="none"/>
              </w:rPr>
            </w:pPr>
          </w:p>
        </w:tc>
      </w:tr>
      <w:tr w14:paraId="3C15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76D260B">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2EFA45CA">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5ECF5BF2">
            <w:pPr>
              <w:tabs>
                <w:tab w:val="left" w:pos="4320"/>
              </w:tabs>
              <w:rPr>
                <w:rFonts w:hint="eastAsia" w:ascii="仿宋" w:hAnsi="仿宋" w:eastAsia="仿宋" w:cs="仿宋"/>
                <w:color w:val="auto"/>
                <w:sz w:val="24"/>
                <w:highlight w:val="none"/>
              </w:rPr>
            </w:pPr>
          </w:p>
        </w:tc>
        <w:tc>
          <w:tcPr>
            <w:tcW w:w="946" w:type="dxa"/>
            <w:noWrap w:val="0"/>
            <w:vAlign w:val="center"/>
          </w:tcPr>
          <w:p w14:paraId="7CA8E312">
            <w:pPr>
              <w:tabs>
                <w:tab w:val="left" w:pos="4320"/>
              </w:tabs>
              <w:rPr>
                <w:rFonts w:hint="eastAsia" w:ascii="仿宋" w:hAnsi="仿宋" w:eastAsia="仿宋" w:cs="仿宋"/>
                <w:color w:val="auto"/>
                <w:sz w:val="24"/>
                <w:highlight w:val="none"/>
              </w:rPr>
            </w:pPr>
          </w:p>
        </w:tc>
        <w:tc>
          <w:tcPr>
            <w:tcW w:w="1263" w:type="dxa"/>
            <w:noWrap w:val="0"/>
            <w:vAlign w:val="center"/>
          </w:tcPr>
          <w:p w14:paraId="3AE28154">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41A7BC16">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7103AA0A">
            <w:pPr>
              <w:tabs>
                <w:tab w:val="left" w:pos="4320"/>
              </w:tabs>
              <w:rPr>
                <w:rFonts w:hint="eastAsia" w:ascii="仿宋" w:hAnsi="仿宋" w:eastAsia="仿宋" w:cs="仿宋"/>
                <w:color w:val="auto"/>
                <w:sz w:val="24"/>
                <w:highlight w:val="none"/>
              </w:rPr>
            </w:pPr>
          </w:p>
        </w:tc>
      </w:tr>
      <w:tr w14:paraId="08E8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43D3417">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06DB4866">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14BFF1E5">
            <w:pPr>
              <w:tabs>
                <w:tab w:val="left" w:pos="4320"/>
              </w:tabs>
              <w:rPr>
                <w:rFonts w:hint="eastAsia" w:ascii="仿宋" w:hAnsi="仿宋" w:eastAsia="仿宋" w:cs="仿宋"/>
                <w:color w:val="auto"/>
                <w:sz w:val="24"/>
                <w:highlight w:val="none"/>
              </w:rPr>
            </w:pPr>
          </w:p>
        </w:tc>
        <w:tc>
          <w:tcPr>
            <w:tcW w:w="946" w:type="dxa"/>
            <w:noWrap w:val="0"/>
            <w:vAlign w:val="center"/>
          </w:tcPr>
          <w:p w14:paraId="6662C274">
            <w:pPr>
              <w:tabs>
                <w:tab w:val="left" w:pos="4320"/>
              </w:tabs>
              <w:rPr>
                <w:rFonts w:hint="eastAsia" w:ascii="仿宋" w:hAnsi="仿宋" w:eastAsia="仿宋" w:cs="仿宋"/>
                <w:color w:val="auto"/>
                <w:sz w:val="24"/>
                <w:highlight w:val="none"/>
              </w:rPr>
            </w:pPr>
          </w:p>
        </w:tc>
        <w:tc>
          <w:tcPr>
            <w:tcW w:w="1263" w:type="dxa"/>
            <w:noWrap w:val="0"/>
            <w:vAlign w:val="center"/>
          </w:tcPr>
          <w:p w14:paraId="022B8BF6">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021BFA4E">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5918F202">
            <w:pPr>
              <w:tabs>
                <w:tab w:val="left" w:pos="4320"/>
              </w:tabs>
              <w:rPr>
                <w:rFonts w:hint="eastAsia" w:ascii="仿宋" w:hAnsi="仿宋" w:eastAsia="仿宋" w:cs="仿宋"/>
                <w:color w:val="auto"/>
                <w:sz w:val="24"/>
                <w:highlight w:val="none"/>
              </w:rPr>
            </w:pPr>
          </w:p>
        </w:tc>
      </w:tr>
      <w:tr w14:paraId="697C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0C338F55">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c>
          <w:tcPr>
            <w:tcW w:w="4206" w:type="dxa"/>
            <w:gridSpan w:val="6"/>
            <w:noWrap w:val="0"/>
            <w:vAlign w:val="center"/>
          </w:tcPr>
          <w:p w14:paraId="093CBEBA">
            <w:pPr>
              <w:tabs>
                <w:tab w:val="left" w:pos="4320"/>
              </w:tabs>
              <w:spacing w:before="60" w:after="60"/>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14:paraId="0DB3DEE3">
            <w:pPr>
              <w:tabs>
                <w:tab w:val="left" w:pos="4320"/>
              </w:tabs>
              <w:spacing w:before="60" w:after="60"/>
              <w:rPr>
                <w:rFonts w:hint="eastAsia" w:ascii="仿宋" w:hAnsi="仿宋" w:eastAsia="仿宋" w:cs="仿宋"/>
                <w:color w:val="auto"/>
                <w:sz w:val="24"/>
                <w:highlight w:val="none"/>
              </w:rPr>
            </w:pPr>
            <w:r>
              <w:rPr>
                <w:rFonts w:hint="eastAsia" w:ascii="仿宋" w:hAnsi="仿宋" w:eastAsia="仿宋" w:cs="仿宋"/>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FE6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5D7486E2">
            <w:pPr>
              <w:tabs>
                <w:tab w:val="left" w:pos="4320"/>
              </w:tabs>
              <w:rPr>
                <w:rFonts w:hint="eastAsia" w:ascii="仿宋" w:hAnsi="仿宋" w:eastAsia="仿宋" w:cs="仿宋"/>
                <w:color w:val="auto"/>
                <w:sz w:val="24"/>
                <w:highlight w:val="none"/>
              </w:rPr>
            </w:pPr>
          </w:p>
        </w:tc>
        <w:tc>
          <w:tcPr>
            <w:tcW w:w="4206" w:type="dxa"/>
            <w:gridSpan w:val="6"/>
            <w:tcBorders>
              <w:bottom w:val="double" w:color="auto" w:sz="4" w:space="0"/>
            </w:tcBorders>
            <w:noWrap w:val="0"/>
            <w:vAlign w:val="center"/>
          </w:tcPr>
          <w:p w14:paraId="59598D62">
            <w:pPr>
              <w:tabs>
                <w:tab w:val="left" w:pos="4320"/>
              </w:tabs>
              <w:rPr>
                <w:rFonts w:hint="eastAsia" w:ascii="仿宋" w:hAnsi="仿宋" w:eastAsia="仿宋" w:cs="仿宋"/>
                <w:color w:val="auto"/>
                <w:sz w:val="24"/>
                <w:highlight w:val="none"/>
              </w:rPr>
            </w:pPr>
          </w:p>
        </w:tc>
        <w:tc>
          <w:tcPr>
            <w:tcW w:w="4142" w:type="dxa"/>
            <w:gridSpan w:val="5"/>
            <w:tcBorders>
              <w:bottom w:val="double" w:color="auto" w:sz="4" w:space="0"/>
              <w:right w:val="double" w:color="auto" w:sz="4" w:space="0"/>
            </w:tcBorders>
            <w:noWrap w:val="0"/>
            <w:vAlign w:val="center"/>
          </w:tcPr>
          <w:p w14:paraId="7EBFA13E">
            <w:pPr>
              <w:tabs>
                <w:tab w:val="left" w:pos="4320"/>
              </w:tabs>
              <w:rPr>
                <w:rFonts w:hint="eastAsia" w:ascii="仿宋" w:hAnsi="仿宋" w:eastAsia="仿宋" w:cs="仿宋"/>
                <w:color w:val="auto"/>
                <w:sz w:val="24"/>
                <w:highlight w:val="none"/>
              </w:rPr>
            </w:pPr>
          </w:p>
        </w:tc>
      </w:tr>
    </w:tbl>
    <w:p w14:paraId="56A991E3">
      <w:pPr>
        <w:pStyle w:val="81"/>
        <w:snapToGrid w:val="0"/>
        <w:spacing w:line="300" w:lineRule="auto"/>
        <w:ind w:firstLine="0" w:firstLineChars="0"/>
        <w:contextualSpacing/>
        <w:jc w:val="center"/>
        <w:rPr>
          <w:rFonts w:hint="eastAsia" w:ascii="仿宋" w:hAnsi="仿宋" w:eastAsia="仿宋"/>
          <w:b/>
          <w:sz w:val="30"/>
          <w:szCs w:val="30"/>
          <w:highlight w:val="none"/>
        </w:rPr>
      </w:pPr>
    </w:p>
    <w:p w14:paraId="326C94A5">
      <w:pPr>
        <w:pStyle w:val="81"/>
        <w:snapToGrid w:val="0"/>
        <w:spacing w:line="300" w:lineRule="auto"/>
        <w:ind w:firstLine="0" w:firstLineChars="0"/>
        <w:contextualSpacing/>
        <w:jc w:val="center"/>
        <w:rPr>
          <w:rFonts w:ascii="仿宋" w:hAnsi="仿宋" w:eastAsia="仿宋"/>
          <w:b/>
          <w:sz w:val="30"/>
          <w:szCs w:val="30"/>
          <w:highlight w:val="none"/>
        </w:rPr>
      </w:pPr>
      <w:r>
        <w:rPr>
          <w:rFonts w:hint="eastAsia" w:ascii="仿宋" w:hAnsi="仿宋" w:eastAsia="仿宋"/>
          <w:b/>
          <w:sz w:val="30"/>
          <w:szCs w:val="30"/>
          <w:highlight w:val="none"/>
          <w:lang w:val="en-US" w:eastAsia="zh-CN"/>
        </w:rPr>
        <w:t>2.</w:t>
      </w:r>
      <w:r>
        <w:rPr>
          <w:rFonts w:hint="eastAsia" w:ascii="仿宋" w:hAnsi="仿宋" w:eastAsia="仿宋"/>
          <w:b/>
          <w:sz w:val="30"/>
          <w:szCs w:val="30"/>
          <w:highlight w:val="none"/>
        </w:rPr>
        <w:t>技术</w:t>
      </w:r>
      <w:r>
        <w:rPr>
          <w:rFonts w:hint="eastAsia" w:ascii="仿宋" w:hAnsi="仿宋" w:eastAsia="仿宋"/>
          <w:b/>
          <w:sz w:val="30"/>
          <w:szCs w:val="30"/>
          <w:highlight w:val="none"/>
          <w:lang w:eastAsia="zh-CN"/>
        </w:rPr>
        <w:t>、</w:t>
      </w:r>
      <w:r>
        <w:rPr>
          <w:rFonts w:hint="eastAsia" w:ascii="仿宋" w:hAnsi="仿宋" w:eastAsia="仿宋"/>
          <w:b/>
          <w:sz w:val="30"/>
          <w:szCs w:val="30"/>
          <w:highlight w:val="none"/>
          <w:lang w:val="en-US" w:eastAsia="zh-CN"/>
        </w:rPr>
        <w:t>商务</w:t>
      </w:r>
      <w:r>
        <w:rPr>
          <w:rFonts w:hint="eastAsia" w:ascii="仿宋" w:hAnsi="仿宋" w:eastAsia="仿宋"/>
          <w:b/>
          <w:sz w:val="30"/>
          <w:szCs w:val="30"/>
          <w:highlight w:val="none"/>
        </w:rPr>
        <w:t>部分正负偏离表</w:t>
      </w:r>
    </w:p>
    <w:p w14:paraId="4FFB3492">
      <w:pPr>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rPr>
        <w:t>（由响应人据实提交，表格不够自行添加）</w:t>
      </w:r>
    </w:p>
    <w:p w14:paraId="176C7C47">
      <w:pPr>
        <w:pStyle w:val="32"/>
        <w:tabs>
          <w:tab w:val="left" w:pos="5250"/>
        </w:tabs>
        <w:rPr>
          <w:rFonts w:ascii="仿宋" w:hAnsi="仿宋" w:eastAsia="仿宋"/>
          <w:sz w:val="24"/>
          <w:highlight w:val="none"/>
          <w:u w:val="single"/>
        </w:rPr>
      </w:pPr>
    </w:p>
    <w:tbl>
      <w:tblPr>
        <w:tblStyle w:val="9"/>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1263"/>
        <w:gridCol w:w="2706"/>
        <w:gridCol w:w="2720"/>
        <w:gridCol w:w="1417"/>
      </w:tblGrid>
      <w:tr w14:paraId="7F6080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49" w:type="dxa"/>
            <w:vAlign w:val="center"/>
          </w:tcPr>
          <w:p w14:paraId="65AA39AE">
            <w:pPr>
              <w:spacing w:line="340" w:lineRule="exact"/>
              <w:jc w:val="center"/>
              <w:rPr>
                <w:rFonts w:ascii="仿宋" w:hAnsi="仿宋" w:eastAsia="仿宋"/>
                <w:sz w:val="24"/>
                <w:highlight w:val="none"/>
              </w:rPr>
            </w:pPr>
            <w:r>
              <w:rPr>
                <w:rFonts w:hint="eastAsia" w:ascii="仿宋" w:hAnsi="仿宋" w:eastAsia="仿宋"/>
                <w:sz w:val="24"/>
                <w:highlight w:val="none"/>
              </w:rPr>
              <w:t>序号</w:t>
            </w:r>
          </w:p>
        </w:tc>
        <w:tc>
          <w:tcPr>
            <w:tcW w:w="1263" w:type="dxa"/>
            <w:vAlign w:val="center"/>
          </w:tcPr>
          <w:p w14:paraId="39E157B8">
            <w:pPr>
              <w:spacing w:line="340" w:lineRule="exact"/>
              <w:jc w:val="center"/>
              <w:rPr>
                <w:rFonts w:ascii="仿宋" w:hAnsi="仿宋" w:eastAsia="仿宋"/>
                <w:sz w:val="24"/>
                <w:highlight w:val="none"/>
              </w:rPr>
            </w:pPr>
            <w:r>
              <w:rPr>
                <w:rFonts w:hint="eastAsia" w:ascii="仿宋" w:hAnsi="仿宋" w:eastAsia="仿宋"/>
                <w:sz w:val="24"/>
                <w:highlight w:val="none"/>
              </w:rPr>
              <w:t>货物或服务名称</w:t>
            </w:r>
          </w:p>
        </w:tc>
        <w:tc>
          <w:tcPr>
            <w:tcW w:w="2706" w:type="dxa"/>
            <w:vAlign w:val="center"/>
          </w:tcPr>
          <w:p w14:paraId="740D953F">
            <w:pPr>
              <w:spacing w:line="340" w:lineRule="exact"/>
              <w:jc w:val="center"/>
              <w:rPr>
                <w:rFonts w:ascii="仿宋" w:hAnsi="仿宋" w:eastAsia="仿宋"/>
                <w:sz w:val="24"/>
                <w:highlight w:val="none"/>
              </w:rPr>
            </w:pPr>
            <w:r>
              <w:rPr>
                <w:rFonts w:hint="eastAsia" w:ascii="仿宋" w:hAnsi="仿宋" w:eastAsia="仿宋"/>
                <w:sz w:val="24"/>
                <w:highlight w:val="none"/>
              </w:rPr>
              <w:t>磋商文件要求</w:t>
            </w:r>
          </w:p>
        </w:tc>
        <w:tc>
          <w:tcPr>
            <w:tcW w:w="2720" w:type="dxa"/>
            <w:vAlign w:val="center"/>
          </w:tcPr>
          <w:p w14:paraId="66362251">
            <w:pPr>
              <w:spacing w:line="340" w:lineRule="exact"/>
              <w:jc w:val="center"/>
              <w:rPr>
                <w:rFonts w:ascii="仿宋" w:hAnsi="仿宋" w:eastAsia="仿宋"/>
                <w:sz w:val="24"/>
                <w:highlight w:val="none"/>
              </w:rPr>
            </w:pPr>
            <w:r>
              <w:rPr>
                <w:rFonts w:hint="eastAsia" w:ascii="仿宋" w:hAnsi="仿宋" w:eastAsia="仿宋"/>
                <w:sz w:val="24"/>
                <w:highlight w:val="none"/>
              </w:rPr>
              <w:t>响应文件响应情况</w:t>
            </w:r>
          </w:p>
        </w:tc>
        <w:tc>
          <w:tcPr>
            <w:tcW w:w="1417" w:type="dxa"/>
          </w:tcPr>
          <w:p w14:paraId="2CA67266">
            <w:pPr>
              <w:spacing w:line="340" w:lineRule="exact"/>
              <w:jc w:val="center"/>
              <w:rPr>
                <w:rFonts w:ascii="仿宋" w:hAnsi="仿宋" w:eastAsia="仿宋"/>
                <w:szCs w:val="21"/>
                <w:highlight w:val="none"/>
              </w:rPr>
            </w:pPr>
          </w:p>
          <w:p w14:paraId="18AFCD7C">
            <w:pPr>
              <w:spacing w:line="340" w:lineRule="exact"/>
              <w:jc w:val="center"/>
              <w:rPr>
                <w:rFonts w:ascii="仿宋" w:hAnsi="仿宋" w:eastAsia="仿宋"/>
                <w:szCs w:val="21"/>
                <w:highlight w:val="none"/>
              </w:rPr>
            </w:pPr>
            <w:r>
              <w:rPr>
                <w:rFonts w:hint="eastAsia" w:ascii="仿宋" w:hAnsi="仿宋" w:eastAsia="仿宋"/>
                <w:szCs w:val="21"/>
                <w:highlight w:val="none"/>
              </w:rPr>
              <w:t>偏离说明</w:t>
            </w:r>
          </w:p>
        </w:tc>
      </w:tr>
      <w:tr w14:paraId="0374C1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649" w:type="dxa"/>
          </w:tcPr>
          <w:p w14:paraId="19745890">
            <w:pPr>
              <w:spacing w:line="340" w:lineRule="exact"/>
              <w:jc w:val="center"/>
              <w:rPr>
                <w:rFonts w:ascii="仿宋" w:hAnsi="仿宋" w:eastAsia="仿宋"/>
                <w:sz w:val="24"/>
                <w:highlight w:val="none"/>
              </w:rPr>
            </w:pPr>
            <w:r>
              <w:rPr>
                <w:rFonts w:hint="eastAsia" w:ascii="仿宋" w:hAnsi="仿宋" w:eastAsia="仿宋"/>
                <w:sz w:val="24"/>
                <w:highlight w:val="none"/>
              </w:rPr>
              <w:t>1</w:t>
            </w:r>
          </w:p>
        </w:tc>
        <w:tc>
          <w:tcPr>
            <w:tcW w:w="1263" w:type="dxa"/>
            <w:vAlign w:val="center"/>
          </w:tcPr>
          <w:p w14:paraId="66E46848">
            <w:pPr>
              <w:spacing w:line="340" w:lineRule="exact"/>
              <w:rPr>
                <w:rFonts w:ascii="仿宋" w:hAnsi="仿宋" w:eastAsia="仿宋"/>
                <w:sz w:val="24"/>
                <w:highlight w:val="none"/>
              </w:rPr>
            </w:pPr>
          </w:p>
        </w:tc>
        <w:tc>
          <w:tcPr>
            <w:tcW w:w="2706" w:type="dxa"/>
            <w:vAlign w:val="center"/>
          </w:tcPr>
          <w:p w14:paraId="37804235">
            <w:pPr>
              <w:spacing w:line="340" w:lineRule="exact"/>
              <w:jc w:val="center"/>
              <w:rPr>
                <w:rFonts w:ascii="仿宋" w:hAnsi="仿宋" w:eastAsia="仿宋"/>
                <w:szCs w:val="21"/>
                <w:highlight w:val="none"/>
              </w:rPr>
            </w:pPr>
          </w:p>
        </w:tc>
        <w:tc>
          <w:tcPr>
            <w:tcW w:w="2720" w:type="dxa"/>
            <w:vAlign w:val="center"/>
          </w:tcPr>
          <w:p w14:paraId="0F656A6A">
            <w:pPr>
              <w:spacing w:line="340" w:lineRule="exact"/>
              <w:rPr>
                <w:rFonts w:ascii="仿宋" w:hAnsi="仿宋" w:eastAsia="仿宋"/>
                <w:szCs w:val="21"/>
                <w:highlight w:val="none"/>
              </w:rPr>
            </w:pPr>
          </w:p>
        </w:tc>
        <w:tc>
          <w:tcPr>
            <w:tcW w:w="1417" w:type="dxa"/>
          </w:tcPr>
          <w:p w14:paraId="780A6433">
            <w:pPr>
              <w:spacing w:line="340" w:lineRule="exact"/>
              <w:rPr>
                <w:rFonts w:ascii="仿宋" w:hAnsi="仿宋" w:eastAsia="仿宋"/>
                <w:szCs w:val="21"/>
                <w:highlight w:val="none"/>
              </w:rPr>
            </w:pPr>
          </w:p>
        </w:tc>
      </w:tr>
      <w:tr w14:paraId="7E3606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49" w:type="dxa"/>
          </w:tcPr>
          <w:p w14:paraId="239F6CCC">
            <w:pPr>
              <w:spacing w:line="340" w:lineRule="exact"/>
              <w:jc w:val="center"/>
              <w:rPr>
                <w:rFonts w:ascii="仿宋" w:hAnsi="仿宋" w:eastAsia="仿宋"/>
                <w:sz w:val="24"/>
                <w:highlight w:val="none"/>
              </w:rPr>
            </w:pPr>
            <w:r>
              <w:rPr>
                <w:rFonts w:hint="eastAsia" w:ascii="仿宋" w:hAnsi="仿宋" w:eastAsia="仿宋"/>
                <w:sz w:val="24"/>
                <w:highlight w:val="none"/>
              </w:rPr>
              <w:t>2</w:t>
            </w:r>
          </w:p>
        </w:tc>
        <w:tc>
          <w:tcPr>
            <w:tcW w:w="1263" w:type="dxa"/>
            <w:vAlign w:val="center"/>
          </w:tcPr>
          <w:p w14:paraId="7FBDDBAD">
            <w:pPr>
              <w:spacing w:line="340" w:lineRule="exact"/>
              <w:jc w:val="center"/>
              <w:rPr>
                <w:rFonts w:ascii="仿宋" w:hAnsi="仿宋" w:eastAsia="仿宋"/>
                <w:sz w:val="24"/>
                <w:highlight w:val="none"/>
              </w:rPr>
            </w:pPr>
          </w:p>
        </w:tc>
        <w:tc>
          <w:tcPr>
            <w:tcW w:w="2706" w:type="dxa"/>
            <w:vAlign w:val="center"/>
          </w:tcPr>
          <w:p w14:paraId="0AA4CA55">
            <w:pPr>
              <w:spacing w:line="340" w:lineRule="exact"/>
              <w:jc w:val="center"/>
              <w:rPr>
                <w:rFonts w:ascii="仿宋" w:hAnsi="仿宋" w:eastAsia="仿宋"/>
                <w:sz w:val="24"/>
                <w:highlight w:val="none"/>
              </w:rPr>
            </w:pPr>
          </w:p>
        </w:tc>
        <w:tc>
          <w:tcPr>
            <w:tcW w:w="2720" w:type="dxa"/>
            <w:vAlign w:val="center"/>
          </w:tcPr>
          <w:p w14:paraId="5DCD83FB">
            <w:pPr>
              <w:spacing w:line="340" w:lineRule="exact"/>
              <w:rPr>
                <w:rFonts w:ascii="仿宋" w:hAnsi="仿宋" w:eastAsia="仿宋"/>
                <w:szCs w:val="21"/>
                <w:highlight w:val="none"/>
              </w:rPr>
            </w:pPr>
          </w:p>
        </w:tc>
        <w:tc>
          <w:tcPr>
            <w:tcW w:w="1417" w:type="dxa"/>
          </w:tcPr>
          <w:p w14:paraId="1395C2E5">
            <w:pPr>
              <w:spacing w:line="340" w:lineRule="exact"/>
              <w:rPr>
                <w:rFonts w:ascii="仿宋" w:hAnsi="仿宋" w:eastAsia="仿宋"/>
                <w:szCs w:val="21"/>
                <w:highlight w:val="none"/>
              </w:rPr>
            </w:pPr>
          </w:p>
        </w:tc>
      </w:tr>
      <w:tr w14:paraId="0AD65A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49" w:type="dxa"/>
          </w:tcPr>
          <w:p w14:paraId="6765CEBE">
            <w:pPr>
              <w:spacing w:line="340" w:lineRule="exact"/>
              <w:jc w:val="center"/>
              <w:rPr>
                <w:rFonts w:ascii="仿宋" w:hAnsi="仿宋" w:eastAsia="仿宋"/>
                <w:sz w:val="24"/>
                <w:highlight w:val="none"/>
              </w:rPr>
            </w:pPr>
            <w:r>
              <w:rPr>
                <w:rFonts w:hint="eastAsia" w:ascii="仿宋" w:hAnsi="仿宋" w:eastAsia="仿宋"/>
                <w:sz w:val="24"/>
                <w:highlight w:val="none"/>
              </w:rPr>
              <w:t>3</w:t>
            </w:r>
          </w:p>
        </w:tc>
        <w:tc>
          <w:tcPr>
            <w:tcW w:w="1263" w:type="dxa"/>
            <w:vAlign w:val="center"/>
          </w:tcPr>
          <w:p w14:paraId="7B626892">
            <w:pPr>
              <w:spacing w:line="340" w:lineRule="exact"/>
              <w:rPr>
                <w:rFonts w:ascii="仿宋" w:hAnsi="仿宋" w:eastAsia="仿宋"/>
                <w:sz w:val="24"/>
                <w:highlight w:val="none"/>
              </w:rPr>
            </w:pPr>
          </w:p>
        </w:tc>
        <w:tc>
          <w:tcPr>
            <w:tcW w:w="2706" w:type="dxa"/>
            <w:vAlign w:val="center"/>
          </w:tcPr>
          <w:p w14:paraId="277DA406">
            <w:pPr>
              <w:spacing w:line="340" w:lineRule="exact"/>
              <w:ind w:firstLine="420" w:firstLineChars="200"/>
              <w:rPr>
                <w:rFonts w:ascii="仿宋" w:hAnsi="仿宋" w:eastAsia="仿宋"/>
                <w:szCs w:val="21"/>
                <w:highlight w:val="none"/>
              </w:rPr>
            </w:pPr>
          </w:p>
        </w:tc>
        <w:tc>
          <w:tcPr>
            <w:tcW w:w="2720" w:type="dxa"/>
            <w:vAlign w:val="center"/>
          </w:tcPr>
          <w:p w14:paraId="69D15EDE">
            <w:pPr>
              <w:spacing w:line="340" w:lineRule="exact"/>
              <w:rPr>
                <w:rFonts w:ascii="仿宋" w:hAnsi="仿宋" w:eastAsia="仿宋"/>
                <w:szCs w:val="21"/>
                <w:highlight w:val="none"/>
              </w:rPr>
            </w:pPr>
          </w:p>
        </w:tc>
        <w:tc>
          <w:tcPr>
            <w:tcW w:w="1417" w:type="dxa"/>
          </w:tcPr>
          <w:p w14:paraId="474897DB">
            <w:pPr>
              <w:spacing w:line="340" w:lineRule="exact"/>
              <w:rPr>
                <w:rFonts w:ascii="仿宋" w:hAnsi="仿宋" w:eastAsia="仿宋"/>
                <w:szCs w:val="21"/>
                <w:highlight w:val="none"/>
              </w:rPr>
            </w:pPr>
          </w:p>
        </w:tc>
      </w:tr>
      <w:tr w14:paraId="2F4FE5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4" w:hRule="atLeast"/>
        </w:trPr>
        <w:tc>
          <w:tcPr>
            <w:tcW w:w="649" w:type="dxa"/>
          </w:tcPr>
          <w:p w14:paraId="5C18453B">
            <w:pPr>
              <w:spacing w:line="340" w:lineRule="exact"/>
              <w:jc w:val="center"/>
              <w:rPr>
                <w:rFonts w:ascii="仿宋" w:hAnsi="仿宋" w:eastAsia="仿宋"/>
                <w:sz w:val="24"/>
                <w:highlight w:val="none"/>
              </w:rPr>
            </w:pPr>
          </w:p>
        </w:tc>
        <w:tc>
          <w:tcPr>
            <w:tcW w:w="1263" w:type="dxa"/>
            <w:vAlign w:val="center"/>
          </w:tcPr>
          <w:p w14:paraId="58DA4352">
            <w:pPr>
              <w:spacing w:line="340" w:lineRule="exact"/>
              <w:jc w:val="center"/>
              <w:rPr>
                <w:rFonts w:ascii="仿宋" w:hAnsi="仿宋" w:eastAsia="仿宋"/>
                <w:sz w:val="24"/>
                <w:highlight w:val="none"/>
              </w:rPr>
            </w:pPr>
          </w:p>
        </w:tc>
        <w:tc>
          <w:tcPr>
            <w:tcW w:w="2706" w:type="dxa"/>
            <w:vAlign w:val="center"/>
          </w:tcPr>
          <w:p w14:paraId="4D1933B5">
            <w:pPr>
              <w:spacing w:line="340" w:lineRule="exact"/>
              <w:rPr>
                <w:rFonts w:ascii="仿宋" w:hAnsi="仿宋" w:eastAsia="仿宋"/>
                <w:sz w:val="24"/>
                <w:highlight w:val="none"/>
              </w:rPr>
            </w:pPr>
          </w:p>
        </w:tc>
        <w:tc>
          <w:tcPr>
            <w:tcW w:w="2720" w:type="dxa"/>
            <w:vAlign w:val="center"/>
          </w:tcPr>
          <w:p w14:paraId="33BBAFAB">
            <w:pPr>
              <w:spacing w:line="340" w:lineRule="exact"/>
              <w:rPr>
                <w:rFonts w:ascii="仿宋" w:hAnsi="仿宋" w:eastAsia="仿宋"/>
                <w:szCs w:val="21"/>
                <w:highlight w:val="none"/>
              </w:rPr>
            </w:pPr>
          </w:p>
        </w:tc>
        <w:tc>
          <w:tcPr>
            <w:tcW w:w="1417" w:type="dxa"/>
          </w:tcPr>
          <w:p w14:paraId="120C4669">
            <w:pPr>
              <w:spacing w:line="340" w:lineRule="exact"/>
              <w:rPr>
                <w:rFonts w:ascii="仿宋" w:hAnsi="仿宋" w:eastAsia="仿宋"/>
                <w:szCs w:val="21"/>
                <w:highlight w:val="none"/>
              </w:rPr>
            </w:pPr>
          </w:p>
        </w:tc>
      </w:tr>
    </w:tbl>
    <w:p w14:paraId="24F5825C">
      <w:pPr>
        <w:spacing w:line="260" w:lineRule="exact"/>
        <w:rPr>
          <w:rFonts w:ascii="仿宋" w:hAnsi="仿宋" w:eastAsia="仿宋"/>
          <w:sz w:val="24"/>
          <w:highlight w:val="none"/>
          <w:u w:val="single"/>
        </w:rPr>
      </w:pPr>
    </w:p>
    <w:p w14:paraId="298589ED">
      <w:pPr>
        <w:pStyle w:val="39"/>
        <w:rPr>
          <w:rFonts w:ascii="仿宋" w:hAnsi="仿宋" w:eastAsia="仿宋"/>
          <w:b/>
          <w:sz w:val="24"/>
          <w:szCs w:val="24"/>
          <w:highlight w:val="none"/>
        </w:rPr>
      </w:pPr>
      <w:r>
        <w:rPr>
          <w:rFonts w:ascii="仿宋" w:hAnsi="仿宋" w:eastAsia="仿宋"/>
          <w:b/>
          <w:sz w:val="24"/>
          <w:szCs w:val="24"/>
          <w:highlight w:val="none"/>
        </w:rPr>
        <w:t>注：</w:t>
      </w:r>
    </w:p>
    <w:p w14:paraId="6109C059">
      <w:pPr>
        <w:pStyle w:val="32"/>
        <w:tabs>
          <w:tab w:val="left" w:pos="5250"/>
        </w:tabs>
        <w:ind w:firstLine="560" w:firstLineChars="200"/>
        <w:rPr>
          <w:rFonts w:ascii="仿宋" w:hAnsi="仿宋" w:eastAsia="仿宋"/>
          <w:szCs w:val="28"/>
          <w:highlight w:val="none"/>
          <w:lang w:bidi="ar"/>
        </w:rPr>
      </w:pPr>
      <w:r>
        <w:rPr>
          <w:rFonts w:hint="eastAsia" w:ascii="仿宋" w:hAnsi="仿宋" w:eastAsia="仿宋"/>
          <w:szCs w:val="28"/>
          <w:highlight w:val="none"/>
          <w:lang w:bidi="ar"/>
        </w:rPr>
        <w:t>1.供应商提交的响应文件中与招标文件第三部分“项目需求”中的商务</w:t>
      </w:r>
      <w:r>
        <w:rPr>
          <w:rFonts w:hint="eastAsia" w:ascii="仿宋" w:hAnsi="仿宋" w:eastAsia="仿宋"/>
          <w:szCs w:val="28"/>
          <w:highlight w:val="none"/>
          <w:lang w:eastAsia="zh-CN" w:bidi="ar"/>
        </w:rPr>
        <w:t>、</w:t>
      </w:r>
      <w:r>
        <w:rPr>
          <w:rFonts w:hint="eastAsia" w:ascii="仿宋" w:hAnsi="仿宋" w:eastAsia="仿宋"/>
          <w:szCs w:val="28"/>
          <w:highlight w:val="none"/>
          <w:lang w:val="en-US" w:eastAsia="zh-CN" w:bidi="ar"/>
        </w:rPr>
        <w:t>技术</w:t>
      </w:r>
      <w:r>
        <w:rPr>
          <w:rFonts w:hint="eastAsia" w:ascii="仿宋" w:hAnsi="仿宋" w:eastAsia="仿宋"/>
          <w:szCs w:val="28"/>
          <w:highlight w:val="none"/>
          <w:lang w:bidi="ar"/>
        </w:rPr>
        <w:t>部分的要求，应逐条填列在偏离表中。</w:t>
      </w:r>
    </w:p>
    <w:p w14:paraId="45340FC1">
      <w:pPr>
        <w:pStyle w:val="32"/>
        <w:tabs>
          <w:tab w:val="left" w:pos="5250"/>
        </w:tabs>
        <w:ind w:firstLine="560" w:firstLineChars="200"/>
        <w:rPr>
          <w:rFonts w:ascii="仿宋" w:hAnsi="仿宋" w:eastAsia="仿宋"/>
          <w:szCs w:val="28"/>
          <w:highlight w:val="none"/>
          <w:lang w:bidi="ar"/>
        </w:rPr>
      </w:pPr>
      <w:r>
        <w:rPr>
          <w:rFonts w:hint="eastAsia" w:ascii="仿宋" w:hAnsi="仿宋" w:eastAsia="仿宋"/>
          <w:szCs w:val="28"/>
          <w:highlight w:val="none"/>
          <w:lang w:bidi="ar"/>
        </w:rPr>
        <w:t>2.“偏离说明”一栏选择“正偏离”、“负偏离”、“无偏离”进行填写。正偏离、负偏离、无偏离的确认，由评标小组认定。</w:t>
      </w:r>
    </w:p>
    <w:p w14:paraId="26A1960C">
      <w:pPr>
        <w:pStyle w:val="32"/>
        <w:tabs>
          <w:tab w:val="left" w:pos="5250"/>
        </w:tabs>
        <w:ind w:firstLine="560" w:firstLineChars="200"/>
        <w:rPr>
          <w:rFonts w:ascii="仿宋" w:hAnsi="仿宋" w:eastAsia="仿宋"/>
          <w:szCs w:val="28"/>
          <w:highlight w:val="none"/>
          <w:lang w:bidi="ar"/>
        </w:rPr>
      </w:pPr>
      <w:r>
        <w:rPr>
          <w:rFonts w:hint="eastAsia" w:ascii="仿宋" w:hAnsi="仿宋" w:eastAsia="仿宋"/>
          <w:szCs w:val="28"/>
          <w:highlight w:val="none"/>
          <w:lang w:bidi="ar"/>
        </w:rPr>
        <w:t>3.供应商若提供其他增值服务，可以在表中自行据实填写。</w:t>
      </w:r>
    </w:p>
    <w:p w14:paraId="5D594ADE">
      <w:pPr>
        <w:snapToGrid w:val="0"/>
        <w:spacing w:line="360" w:lineRule="auto"/>
        <w:ind w:firstLine="560" w:firstLineChars="200"/>
        <w:jc w:val="right"/>
        <w:rPr>
          <w:rFonts w:ascii="仿宋" w:hAnsi="仿宋" w:eastAsia="仿宋"/>
          <w:sz w:val="28"/>
          <w:szCs w:val="28"/>
          <w:highlight w:val="none"/>
          <w:lang w:bidi="ar"/>
        </w:rPr>
      </w:pPr>
    </w:p>
    <w:p w14:paraId="53684A1E">
      <w:pPr>
        <w:snapToGrid w:val="0"/>
        <w:spacing w:line="360" w:lineRule="auto"/>
        <w:ind w:firstLine="560" w:firstLineChars="200"/>
        <w:jc w:val="right"/>
        <w:rPr>
          <w:rFonts w:ascii="仿宋" w:hAnsi="仿宋" w:eastAsia="仿宋"/>
          <w:sz w:val="28"/>
          <w:szCs w:val="28"/>
          <w:highlight w:val="none"/>
          <w:lang w:bidi="ar"/>
        </w:rPr>
      </w:pPr>
    </w:p>
    <w:p w14:paraId="5AB3F2D9">
      <w:pPr>
        <w:snapToGrid w:val="0"/>
        <w:spacing w:line="360" w:lineRule="auto"/>
        <w:ind w:firstLine="560" w:firstLineChars="200"/>
        <w:jc w:val="right"/>
        <w:rPr>
          <w:rFonts w:ascii="仿宋" w:hAnsi="仿宋" w:eastAsia="仿宋"/>
          <w:sz w:val="28"/>
          <w:szCs w:val="28"/>
          <w:highlight w:val="none"/>
          <w:lang w:bidi="ar"/>
        </w:rPr>
      </w:pPr>
    </w:p>
    <w:p w14:paraId="13B9C293">
      <w:pPr>
        <w:snapToGrid w:val="0"/>
        <w:spacing w:line="360" w:lineRule="auto"/>
        <w:ind w:firstLine="560" w:firstLineChars="200"/>
        <w:jc w:val="right"/>
        <w:rPr>
          <w:rFonts w:ascii="仿宋" w:hAnsi="仿宋" w:eastAsia="仿宋"/>
          <w:sz w:val="28"/>
          <w:szCs w:val="28"/>
          <w:highlight w:val="none"/>
          <w:lang w:bidi="ar"/>
        </w:rPr>
      </w:pPr>
    </w:p>
    <w:p w14:paraId="547202F4">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供应商名称（盖章）：</w:t>
      </w:r>
    </w:p>
    <w:p w14:paraId="0D32C812">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法定代表人或授权委托人（签字或盖章）：</w:t>
      </w:r>
    </w:p>
    <w:p w14:paraId="2DFE16EB">
      <w:pPr>
        <w:pStyle w:val="81"/>
        <w:widowControl/>
        <w:snapToGrid w:val="0"/>
        <w:spacing w:line="300" w:lineRule="auto"/>
        <w:ind w:firstLine="0" w:firstLineChars="0"/>
        <w:jc w:val="right"/>
        <w:rPr>
          <w:rFonts w:ascii="仿宋" w:hAnsi="仿宋" w:eastAsia="仿宋"/>
          <w:highlight w:val="none"/>
          <w:lang w:bidi="ar"/>
        </w:rPr>
      </w:pPr>
      <w:r>
        <w:rPr>
          <w:rFonts w:ascii="仿宋" w:hAnsi="仿宋" w:eastAsia="仿宋"/>
          <w:highlight w:val="none"/>
          <w:lang w:bidi="ar"/>
        </w:rPr>
        <w:t>日期：</w:t>
      </w:r>
    </w:p>
    <w:p w14:paraId="3E5B776A">
      <w:pPr>
        <w:widowControl/>
        <w:spacing w:before="100" w:beforeAutospacing="1" w:after="100" w:afterAutospacing="1" w:line="360" w:lineRule="auto"/>
        <w:jc w:val="center"/>
        <w:rPr>
          <w:rFonts w:ascii="仿宋" w:hAnsi="仿宋" w:eastAsia="仿宋"/>
          <w:b/>
          <w:bCs/>
          <w:kern w:val="0"/>
          <w:sz w:val="32"/>
          <w:szCs w:val="32"/>
          <w:highlight w:val="none"/>
        </w:rPr>
      </w:pPr>
    </w:p>
    <w:p w14:paraId="15C258B5">
      <w:pPr>
        <w:widowControl/>
        <w:spacing w:before="100" w:beforeAutospacing="1" w:after="100" w:afterAutospacing="1" w:line="360" w:lineRule="auto"/>
        <w:rPr>
          <w:rFonts w:ascii="仿宋" w:hAnsi="仿宋" w:eastAsia="仿宋"/>
          <w:kern w:val="0"/>
          <w:sz w:val="32"/>
          <w:szCs w:val="32"/>
          <w:highlight w:val="none"/>
        </w:rPr>
      </w:pPr>
    </w:p>
    <w:p w14:paraId="14C63904">
      <w:pPr>
        <w:widowControl/>
        <w:spacing w:before="100" w:beforeAutospacing="1" w:after="100" w:afterAutospacing="1" w:line="360" w:lineRule="auto"/>
        <w:jc w:val="left"/>
        <w:rPr>
          <w:rFonts w:ascii="仿宋" w:hAnsi="仿宋" w:eastAsia="仿宋"/>
          <w:kern w:val="0"/>
          <w:sz w:val="32"/>
          <w:szCs w:val="32"/>
          <w:highlight w:val="none"/>
        </w:rPr>
      </w:pPr>
    </w:p>
    <w:p w14:paraId="5AA161A5">
      <w:pPr>
        <w:widowControl/>
        <w:spacing w:before="100" w:beforeAutospacing="1" w:after="100" w:afterAutospacing="1" w:line="360" w:lineRule="auto"/>
        <w:jc w:val="left"/>
        <w:rPr>
          <w:rFonts w:hint="eastAsia" w:ascii="仿宋" w:hAnsi="仿宋" w:eastAsia="仿宋"/>
          <w:b/>
          <w:bCs/>
          <w:kern w:val="0"/>
          <w:sz w:val="32"/>
          <w:szCs w:val="32"/>
          <w:highlight w:val="none"/>
        </w:rPr>
      </w:pPr>
      <w:r>
        <w:rPr>
          <w:rFonts w:hint="eastAsia" w:ascii="仿宋" w:hAnsi="仿宋" w:eastAsia="仿宋"/>
          <w:b/>
          <w:bCs/>
          <w:kern w:val="0"/>
          <w:sz w:val="32"/>
          <w:szCs w:val="32"/>
          <w:highlight w:val="none"/>
        </w:rPr>
        <w:t>价格响应文件</w:t>
      </w:r>
    </w:p>
    <w:p w14:paraId="66693D94">
      <w:pPr>
        <w:widowControl/>
        <w:spacing w:before="100" w:beforeAutospacing="1" w:after="100" w:afterAutospacing="1" w:line="360" w:lineRule="auto"/>
        <w:jc w:val="center"/>
        <w:rPr>
          <w:rFonts w:hint="default" w:ascii="仿宋" w:hAnsi="仿宋" w:eastAsia="仿宋"/>
          <w:b/>
          <w:bCs/>
          <w:kern w:val="0"/>
          <w:sz w:val="32"/>
          <w:szCs w:val="32"/>
          <w:highlight w:val="none"/>
          <w:lang w:val="en-US" w:eastAsia="zh-CN"/>
        </w:rPr>
      </w:pPr>
      <w:r>
        <w:rPr>
          <w:rFonts w:hint="eastAsia" w:ascii="仿宋" w:hAnsi="仿宋" w:eastAsia="仿宋"/>
          <w:b/>
          <w:bCs/>
          <w:kern w:val="0"/>
          <w:sz w:val="32"/>
          <w:szCs w:val="32"/>
          <w:highlight w:val="none"/>
          <w:lang w:val="en-US" w:eastAsia="zh-CN"/>
        </w:rPr>
        <w:t>1.</w:t>
      </w:r>
      <w:r>
        <w:rPr>
          <w:rFonts w:hint="eastAsia" w:ascii="仿宋" w:hAnsi="仿宋" w:eastAsia="仿宋"/>
          <w:b/>
          <w:bCs/>
          <w:kern w:val="0"/>
          <w:sz w:val="32"/>
          <w:szCs w:val="32"/>
          <w:highlight w:val="none"/>
        </w:rPr>
        <w:t>报价总表</w:t>
      </w:r>
    </w:p>
    <w:p w14:paraId="5E1B2D8F">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供应商全称（加盖公章）：</w:t>
      </w:r>
    </w:p>
    <w:p w14:paraId="06FF9892">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项目名称：</w:t>
      </w:r>
    </w:p>
    <w:p w14:paraId="361FFCBD">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项目编号：</w:t>
      </w:r>
    </w:p>
    <w:p w14:paraId="4D830858">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分包号：</w:t>
      </w:r>
    </w:p>
    <w:tbl>
      <w:tblPr>
        <w:tblStyle w:val="9"/>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38"/>
        <w:gridCol w:w="4483"/>
      </w:tblGrid>
      <w:tr w14:paraId="0ACE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tcPr>
          <w:p w14:paraId="38002AFA">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磋商货物、服务名称</w:t>
            </w:r>
          </w:p>
        </w:tc>
        <w:tc>
          <w:tcPr>
            <w:tcW w:w="2630" w:type="dxa"/>
          </w:tcPr>
          <w:p w14:paraId="161A05B2">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磋商总报价</w:t>
            </w:r>
          </w:p>
        </w:tc>
      </w:tr>
      <w:tr w14:paraId="1E21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2369" w:type="dxa"/>
          </w:tcPr>
          <w:p w14:paraId="4E284AF1">
            <w:pPr>
              <w:spacing w:line="360" w:lineRule="auto"/>
              <w:jc w:val="left"/>
              <w:rPr>
                <w:rFonts w:hint="eastAsia" w:ascii="仿宋" w:hAnsi="仿宋" w:eastAsia="仿宋"/>
                <w:kern w:val="0"/>
                <w:sz w:val="28"/>
                <w:szCs w:val="28"/>
                <w:highlight w:val="none"/>
                <w:lang w:eastAsia="zh-CN"/>
              </w:rPr>
            </w:pPr>
            <w:r>
              <w:rPr>
                <w:rFonts w:hint="eastAsia" w:ascii="仿宋" w:hAnsi="仿宋" w:eastAsia="仿宋"/>
                <w:kern w:val="0"/>
                <w:sz w:val="28"/>
                <w:szCs w:val="28"/>
                <w:highlight w:val="none"/>
                <w:lang w:eastAsia="zh-CN"/>
              </w:rPr>
              <w:t>江苏省南通卫生高等职业技术学校药学系中药炮制实验室项目</w:t>
            </w:r>
          </w:p>
        </w:tc>
        <w:tc>
          <w:tcPr>
            <w:tcW w:w="2630" w:type="dxa"/>
          </w:tcPr>
          <w:p w14:paraId="63D58D28">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大写：</w:t>
            </w:r>
          </w:p>
          <w:p w14:paraId="3E0666E8">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小写：        元（人民币）</w:t>
            </w:r>
          </w:p>
        </w:tc>
      </w:tr>
    </w:tbl>
    <w:p w14:paraId="4199788B">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日期：</w:t>
      </w:r>
    </w:p>
    <w:p w14:paraId="2C95CD50">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填写说明：</w:t>
      </w:r>
    </w:p>
    <w:p w14:paraId="37AC3A6F">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1、报价总表必须加盖供应商公章（复印件无效）。</w:t>
      </w:r>
    </w:p>
    <w:p w14:paraId="28F8C840">
      <w:pPr>
        <w:rPr>
          <w:rFonts w:hint="eastAsia" w:ascii="仿宋" w:hAnsi="仿宋" w:eastAsia="仿宋"/>
          <w:b/>
          <w:bCs/>
          <w:kern w:val="0"/>
          <w:sz w:val="32"/>
          <w:szCs w:val="32"/>
          <w:highlight w:val="none"/>
        </w:rPr>
      </w:pPr>
      <w:r>
        <w:rPr>
          <w:rFonts w:hint="eastAsia" w:ascii="仿宋" w:hAnsi="仿宋" w:eastAsia="仿宋"/>
          <w:b/>
          <w:bCs/>
          <w:kern w:val="0"/>
          <w:sz w:val="32"/>
          <w:szCs w:val="32"/>
          <w:highlight w:val="none"/>
        </w:rPr>
        <w:br w:type="page"/>
      </w:r>
    </w:p>
    <w:p w14:paraId="5D1B3173">
      <w:pPr>
        <w:snapToGrid w:val="0"/>
        <w:spacing w:line="360" w:lineRule="auto"/>
        <w:jc w:val="center"/>
        <w:rPr>
          <w:rFonts w:hint="default" w:ascii="仿宋" w:hAnsi="仿宋" w:eastAsia="仿宋" w:cs="Times New Roman"/>
          <w:b/>
          <w:kern w:val="2"/>
          <w:sz w:val="32"/>
          <w:szCs w:val="32"/>
          <w:highlight w:val="none"/>
          <w:lang w:val="en-US" w:eastAsia="zh-CN" w:bidi="ar"/>
        </w:rPr>
      </w:pPr>
      <w:r>
        <w:rPr>
          <w:rFonts w:hint="eastAsia" w:ascii="仿宋" w:hAnsi="仿宋" w:eastAsia="仿宋" w:cs="Times New Roman"/>
          <w:b/>
          <w:kern w:val="2"/>
          <w:sz w:val="32"/>
          <w:szCs w:val="32"/>
          <w:highlight w:val="none"/>
          <w:lang w:val="en-US" w:eastAsia="zh-CN" w:bidi="ar"/>
        </w:rPr>
        <w:t>2.分项报价表</w:t>
      </w:r>
    </w:p>
    <w:p w14:paraId="2BA8A426">
      <w:pPr>
        <w:pStyle w:val="73"/>
        <w:rPr>
          <w:rFonts w:ascii="仿宋" w:hAnsi="仿宋" w:eastAsia="仿宋"/>
          <w:b/>
          <w:sz w:val="32"/>
          <w:szCs w:val="32"/>
          <w:highlight w:val="none"/>
          <w:lang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215"/>
        <w:gridCol w:w="1481"/>
        <w:gridCol w:w="1227"/>
        <w:gridCol w:w="1268"/>
        <w:gridCol w:w="1445"/>
      </w:tblGrid>
      <w:tr w14:paraId="1844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37" w:type="dxa"/>
            <w:vAlign w:val="center"/>
          </w:tcPr>
          <w:p w14:paraId="5ED73F3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2215" w:type="dxa"/>
            <w:vAlign w:val="center"/>
          </w:tcPr>
          <w:p w14:paraId="10F96EB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名称</w:t>
            </w:r>
          </w:p>
        </w:tc>
        <w:tc>
          <w:tcPr>
            <w:tcW w:w="1481" w:type="dxa"/>
            <w:vAlign w:val="center"/>
          </w:tcPr>
          <w:p w14:paraId="27B514A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单位</w:t>
            </w:r>
          </w:p>
        </w:tc>
        <w:tc>
          <w:tcPr>
            <w:tcW w:w="1227" w:type="dxa"/>
            <w:vAlign w:val="center"/>
          </w:tcPr>
          <w:p w14:paraId="4A99A20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数量</w:t>
            </w:r>
          </w:p>
        </w:tc>
        <w:tc>
          <w:tcPr>
            <w:tcW w:w="1268" w:type="dxa"/>
            <w:vAlign w:val="center"/>
          </w:tcPr>
          <w:p w14:paraId="271DFDC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单价报价（元）</w:t>
            </w:r>
          </w:p>
        </w:tc>
        <w:tc>
          <w:tcPr>
            <w:tcW w:w="1445" w:type="dxa"/>
            <w:vAlign w:val="center"/>
          </w:tcPr>
          <w:p w14:paraId="763FEF5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合价报价（元）</w:t>
            </w:r>
          </w:p>
        </w:tc>
      </w:tr>
      <w:tr w14:paraId="135B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3" w:type="dxa"/>
            <w:gridSpan w:val="6"/>
            <w:vAlign w:val="center"/>
          </w:tcPr>
          <w:p w14:paraId="7FE55F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实验室家具及装修</w:t>
            </w:r>
          </w:p>
        </w:tc>
      </w:tr>
      <w:tr w14:paraId="248B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A56639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215" w:type="dxa"/>
            <w:vAlign w:val="center"/>
          </w:tcPr>
          <w:p w14:paraId="7070CBA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中药炮制试验台</w:t>
            </w:r>
          </w:p>
        </w:tc>
        <w:tc>
          <w:tcPr>
            <w:tcW w:w="1481" w:type="dxa"/>
            <w:vAlign w:val="center"/>
          </w:tcPr>
          <w:p w14:paraId="2F2DE8B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组</w:t>
            </w:r>
          </w:p>
        </w:tc>
        <w:tc>
          <w:tcPr>
            <w:tcW w:w="1227" w:type="dxa"/>
            <w:vAlign w:val="center"/>
          </w:tcPr>
          <w:p w14:paraId="79BE4F7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68" w:type="dxa"/>
            <w:vAlign w:val="center"/>
          </w:tcPr>
          <w:p w14:paraId="0A210C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2B3D46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18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26C86B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215" w:type="dxa"/>
            <w:vAlign w:val="center"/>
          </w:tcPr>
          <w:p w14:paraId="3BA54F6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药品存放台（边台）</w:t>
            </w:r>
          </w:p>
        </w:tc>
        <w:tc>
          <w:tcPr>
            <w:tcW w:w="1481" w:type="dxa"/>
            <w:vAlign w:val="center"/>
          </w:tcPr>
          <w:p w14:paraId="0A84773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组</w:t>
            </w:r>
          </w:p>
        </w:tc>
        <w:tc>
          <w:tcPr>
            <w:tcW w:w="1227" w:type="dxa"/>
            <w:vAlign w:val="center"/>
          </w:tcPr>
          <w:p w14:paraId="7DA298D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1268" w:type="dxa"/>
            <w:vAlign w:val="center"/>
          </w:tcPr>
          <w:p w14:paraId="2E0A59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4C673D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94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152C22B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215" w:type="dxa"/>
            <w:vAlign w:val="center"/>
          </w:tcPr>
          <w:p w14:paraId="2769D34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灶具</w:t>
            </w:r>
          </w:p>
        </w:tc>
        <w:tc>
          <w:tcPr>
            <w:tcW w:w="1481" w:type="dxa"/>
            <w:vAlign w:val="center"/>
          </w:tcPr>
          <w:p w14:paraId="7D63D97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4961808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68" w:type="dxa"/>
            <w:vAlign w:val="center"/>
          </w:tcPr>
          <w:p w14:paraId="461AA5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042A51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36A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DDE6D2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215" w:type="dxa"/>
            <w:vAlign w:val="center"/>
          </w:tcPr>
          <w:p w14:paraId="6503938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方凳</w:t>
            </w:r>
          </w:p>
        </w:tc>
        <w:tc>
          <w:tcPr>
            <w:tcW w:w="1481" w:type="dxa"/>
            <w:vAlign w:val="center"/>
          </w:tcPr>
          <w:p w14:paraId="49B0E7D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227" w:type="dxa"/>
            <w:vAlign w:val="center"/>
          </w:tcPr>
          <w:p w14:paraId="17FBFEE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68" w:type="dxa"/>
            <w:vAlign w:val="center"/>
          </w:tcPr>
          <w:p w14:paraId="385CAE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0D2FD8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A1C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787FE30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2215" w:type="dxa"/>
            <w:vAlign w:val="center"/>
          </w:tcPr>
          <w:p w14:paraId="28681AA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消防应急灯</w:t>
            </w:r>
          </w:p>
        </w:tc>
        <w:tc>
          <w:tcPr>
            <w:tcW w:w="1481" w:type="dxa"/>
            <w:vAlign w:val="center"/>
          </w:tcPr>
          <w:p w14:paraId="05DC4BE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227" w:type="dxa"/>
            <w:vAlign w:val="center"/>
          </w:tcPr>
          <w:p w14:paraId="36EF323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68" w:type="dxa"/>
            <w:vAlign w:val="center"/>
          </w:tcPr>
          <w:p w14:paraId="3EEE59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23471D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0D2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0719FB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2215" w:type="dxa"/>
            <w:vAlign w:val="center"/>
          </w:tcPr>
          <w:p w14:paraId="6A12D53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灭火设备</w:t>
            </w:r>
          </w:p>
        </w:tc>
        <w:tc>
          <w:tcPr>
            <w:tcW w:w="1481" w:type="dxa"/>
            <w:vAlign w:val="center"/>
          </w:tcPr>
          <w:p w14:paraId="3F2A4A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3196909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68" w:type="dxa"/>
            <w:vAlign w:val="center"/>
          </w:tcPr>
          <w:p w14:paraId="6E2864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75FF94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9F0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BEA755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2215" w:type="dxa"/>
            <w:vAlign w:val="center"/>
          </w:tcPr>
          <w:p w14:paraId="28F07E2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灭火毯</w:t>
            </w:r>
          </w:p>
        </w:tc>
        <w:tc>
          <w:tcPr>
            <w:tcW w:w="1481" w:type="dxa"/>
            <w:vAlign w:val="center"/>
          </w:tcPr>
          <w:p w14:paraId="0DF876D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227" w:type="dxa"/>
            <w:vAlign w:val="center"/>
          </w:tcPr>
          <w:p w14:paraId="3BB28CC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268" w:type="dxa"/>
            <w:vAlign w:val="center"/>
          </w:tcPr>
          <w:p w14:paraId="123AE8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030F60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06E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E873E7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215" w:type="dxa"/>
            <w:vAlign w:val="center"/>
          </w:tcPr>
          <w:p w14:paraId="0C74E5C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消防沙箱</w:t>
            </w:r>
          </w:p>
        </w:tc>
        <w:tc>
          <w:tcPr>
            <w:tcW w:w="1481" w:type="dxa"/>
            <w:vAlign w:val="center"/>
          </w:tcPr>
          <w:p w14:paraId="00BFDC6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59887B2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6DBAC9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7D3D11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C4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4BA4877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215" w:type="dxa"/>
            <w:vAlign w:val="center"/>
          </w:tcPr>
          <w:p w14:paraId="2C6B71B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紧急喷淋系统</w:t>
            </w:r>
          </w:p>
        </w:tc>
        <w:tc>
          <w:tcPr>
            <w:tcW w:w="1481" w:type="dxa"/>
            <w:vAlign w:val="center"/>
          </w:tcPr>
          <w:p w14:paraId="75E3FE9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5881DD8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0700FE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174A49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94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CDAED6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15" w:type="dxa"/>
            <w:vAlign w:val="center"/>
          </w:tcPr>
          <w:p w14:paraId="15A1DC6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教师讲台</w:t>
            </w:r>
          </w:p>
        </w:tc>
        <w:tc>
          <w:tcPr>
            <w:tcW w:w="1481" w:type="dxa"/>
            <w:vAlign w:val="center"/>
          </w:tcPr>
          <w:p w14:paraId="41956C9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227" w:type="dxa"/>
            <w:vAlign w:val="center"/>
          </w:tcPr>
          <w:p w14:paraId="1B9A6B6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460C3B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191EEB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CA1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A4B82E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215" w:type="dxa"/>
            <w:vAlign w:val="center"/>
          </w:tcPr>
          <w:p w14:paraId="34F2C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应急扩声</w:t>
            </w:r>
          </w:p>
        </w:tc>
        <w:tc>
          <w:tcPr>
            <w:tcW w:w="1481" w:type="dxa"/>
            <w:vAlign w:val="center"/>
          </w:tcPr>
          <w:p w14:paraId="7B8F41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5D376C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4C85FC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52FEA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E4F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58C7AC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15" w:type="dxa"/>
            <w:vAlign w:val="center"/>
          </w:tcPr>
          <w:p w14:paraId="63414CA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排烟净化系统</w:t>
            </w:r>
          </w:p>
        </w:tc>
        <w:tc>
          <w:tcPr>
            <w:tcW w:w="1481" w:type="dxa"/>
            <w:vAlign w:val="center"/>
          </w:tcPr>
          <w:p w14:paraId="7B7A5A8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010A450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268" w:type="dxa"/>
            <w:vAlign w:val="center"/>
          </w:tcPr>
          <w:p w14:paraId="3E73B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3E96A1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41D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45AC29B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13</w:t>
            </w:r>
          </w:p>
        </w:tc>
        <w:tc>
          <w:tcPr>
            <w:tcW w:w="2215" w:type="dxa"/>
            <w:vAlign w:val="center"/>
          </w:tcPr>
          <w:p w14:paraId="3EE4B76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环氧地屏</w:t>
            </w:r>
          </w:p>
        </w:tc>
        <w:tc>
          <w:tcPr>
            <w:tcW w:w="1481" w:type="dxa"/>
            <w:vAlign w:val="center"/>
          </w:tcPr>
          <w:p w14:paraId="183445D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27" w:type="dxa"/>
            <w:vAlign w:val="center"/>
          </w:tcPr>
          <w:p w14:paraId="7F1C927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68" w:type="dxa"/>
            <w:vAlign w:val="center"/>
          </w:tcPr>
          <w:p w14:paraId="5B1224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5AFAAE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126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37" w:type="dxa"/>
            <w:vAlign w:val="center"/>
          </w:tcPr>
          <w:p w14:paraId="51E9913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2215" w:type="dxa"/>
            <w:vAlign w:val="center"/>
          </w:tcPr>
          <w:p w14:paraId="5AE85D3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吊顶</w:t>
            </w:r>
          </w:p>
        </w:tc>
        <w:tc>
          <w:tcPr>
            <w:tcW w:w="1481" w:type="dxa"/>
            <w:vAlign w:val="center"/>
          </w:tcPr>
          <w:p w14:paraId="32D75A3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27" w:type="dxa"/>
            <w:vAlign w:val="center"/>
          </w:tcPr>
          <w:p w14:paraId="2505124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68" w:type="dxa"/>
            <w:vAlign w:val="center"/>
          </w:tcPr>
          <w:p w14:paraId="788D48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0E1222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45A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37" w:type="dxa"/>
            <w:vAlign w:val="center"/>
          </w:tcPr>
          <w:p w14:paraId="4EC772D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2215" w:type="dxa"/>
            <w:vAlign w:val="center"/>
          </w:tcPr>
          <w:p w14:paraId="728A934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墙面磁砖</w:t>
            </w:r>
          </w:p>
        </w:tc>
        <w:tc>
          <w:tcPr>
            <w:tcW w:w="1481" w:type="dxa"/>
            <w:vAlign w:val="center"/>
          </w:tcPr>
          <w:p w14:paraId="7586879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平</w:t>
            </w:r>
          </w:p>
        </w:tc>
        <w:tc>
          <w:tcPr>
            <w:tcW w:w="1227" w:type="dxa"/>
            <w:vAlign w:val="center"/>
          </w:tcPr>
          <w:p w14:paraId="749BE36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268" w:type="dxa"/>
            <w:vAlign w:val="center"/>
          </w:tcPr>
          <w:p w14:paraId="2D8DD2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58D9A8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B2C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5812C9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2215" w:type="dxa"/>
            <w:vAlign w:val="center"/>
          </w:tcPr>
          <w:p w14:paraId="329D0ED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墙面乳胶漆</w:t>
            </w:r>
          </w:p>
        </w:tc>
        <w:tc>
          <w:tcPr>
            <w:tcW w:w="1481" w:type="dxa"/>
            <w:vAlign w:val="center"/>
          </w:tcPr>
          <w:p w14:paraId="513569D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27" w:type="dxa"/>
            <w:vAlign w:val="center"/>
          </w:tcPr>
          <w:p w14:paraId="770BBFF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80</w:t>
            </w:r>
          </w:p>
        </w:tc>
        <w:tc>
          <w:tcPr>
            <w:tcW w:w="1268" w:type="dxa"/>
            <w:vAlign w:val="center"/>
          </w:tcPr>
          <w:p w14:paraId="5BE650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54F6BC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B8B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7A2FED2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2215" w:type="dxa"/>
            <w:vAlign w:val="center"/>
          </w:tcPr>
          <w:p w14:paraId="78B387B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强电铺设</w:t>
            </w:r>
          </w:p>
        </w:tc>
        <w:tc>
          <w:tcPr>
            <w:tcW w:w="1481" w:type="dxa"/>
            <w:vAlign w:val="center"/>
          </w:tcPr>
          <w:p w14:paraId="420D7E6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27" w:type="dxa"/>
            <w:vAlign w:val="center"/>
          </w:tcPr>
          <w:p w14:paraId="190068C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68" w:type="dxa"/>
            <w:vAlign w:val="center"/>
          </w:tcPr>
          <w:p w14:paraId="69C21B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59DB80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C43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30C771F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2215" w:type="dxa"/>
            <w:vAlign w:val="center"/>
          </w:tcPr>
          <w:p w14:paraId="37CC50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安全电箱</w:t>
            </w:r>
          </w:p>
        </w:tc>
        <w:tc>
          <w:tcPr>
            <w:tcW w:w="1481" w:type="dxa"/>
            <w:vAlign w:val="center"/>
          </w:tcPr>
          <w:p w14:paraId="429FAD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1227" w:type="dxa"/>
            <w:vAlign w:val="center"/>
          </w:tcPr>
          <w:p w14:paraId="0188506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268" w:type="dxa"/>
            <w:vAlign w:val="center"/>
          </w:tcPr>
          <w:p w14:paraId="7529A2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45" w:type="dxa"/>
            <w:vAlign w:val="center"/>
          </w:tcPr>
          <w:p w14:paraId="26C3BD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4F4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301499D6">
            <w:pPr>
              <w:keepNext w:val="0"/>
              <w:keepLines w:val="0"/>
              <w:widowControl/>
              <w:suppressLineNumbers w:val="0"/>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19</w:t>
            </w:r>
          </w:p>
        </w:tc>
        <w:tc>
          <w:tcPr>
            <w:tcW w:w="2215" w:type="dxa"/>
            <w:vAlign w:val="center"/>
          </w:tcPr>
          <w:p w14:paraId="060918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安全监控</w:t>
            </w:r>
          </w:p>
        </w:tc>
        <w:tc>
          <w:tcPr>
            <w:tcW w:w="1481" w:type="dxa"/>
            <w:vAlign w:val="center"/>
          </w:tcPr>
          <w:p w14:paraId="0AF4E9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1227" w:type="dxa"/>
            <w:vAlign w:val="center"/>
          </w:tcPr>
          <w:p w14:paraId="316FA7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268" w:type="dxa"/>
            <w:vAlign w:val="center"/>
          </w:tcPr>
          <w:p w14:paraId="1F5602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45" w:type="dxa"/>
            <w:vAlign w:val="center"/>
          </w:tcPr>
          <w:p w14:paraId="239BAC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34D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4DBB7FF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2215" w:type="dxa"/>
            <w:vAlign w:val="center"/>
          </w:tcPr>
          <w:p w14:paraId="54E9A78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温感探测器</w:t>
            </w:r>
          </w:p>
        </w:tc>
        <w:tc>
          <w:tcPr>
            <w:tcW w:w="1481" w:type="dxa"/>
            <w:vAlign w:val="center"/>
          </w:tcPr>
          <w:p w14:paraId="0B3B74C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227" w:type="dxa"/>
            <w:vAlign w:val="center"/>
          </w:tcPr>
          <w:p w14:paraId="4F2CC7F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68" w:type="dxa"/>
            <w:vAlign w:val="center"/>
          </w:tcPr>
          <w:p w14:paraId="40EFC71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45" w:type="dxa"/>
            <w:vAlign w:val="center"/>
          </w:tcPr>
          <w:p w14:paraId="2F43945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r>
      <w:tr w14:paraId="7A41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71FACC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w:t>
            </w:r>
          </w:p>
        </w:tc>
        <w:tc>
          <w:tcPr>
            <w:tcW w:w="2215" w:type="dxa"/>
            <w:vAlign w:val="center"/>
          </w:tcPr>
          <w:p w14:paraId="2E65661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火灾显示器</w:t>
            </w:r>
          </w:p>
        </w:tc>
        <w:tc>
          <w:tcPr>
            <w:tcW w:w="1481" w:type="dxa"/>
            <w:vAlign w:val="center"/>
          </w:tcPr>
          <w:p w14:paraId="514C9A8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227" w:type="dxa"/>
            <w:vAlign w:val="center"/>
          </w:tcPr>
          <w:p w14:paraId="71DEB86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68" w:type="dxa"/>
            <w:vAlign w:val="center"/>
          </w:tcPr>
          <w:p w14:paraId="71DD5F9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45" w:type="dxa"/>
            <w:vAlign w:val="center"/>
          </w:tcPr>
          <w:p w14:paraId="22CBC3E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r>
      <w:tr w14:paraId="3F6C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619F83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2215" w:type="dxa"/>
            <w:vAlign w:val="center"/>
          </w:tcPr>
          <w:p w14:paraId="4B4C0EF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教室照明</w:t>
            </w:r>
          </w:p>
        </w:tc>
        <w:tc>
          <w:tcPr>
            <w:tcW w:w="1481" w:type="dxa"/>
            <w:vAlign w:val="center"/>
          </w:tcPr>
          <w:p w14:paraId="6D54A52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227" w:type="dxa"/>
            <w:vAlign w:val="center"/>
          </w:tcPr>
          <w:p w14:paraId="2B758B9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1268" w:type="dxa"/>
            <w:vAlign w:val="center"/>
          </w:tcPr>
          <w:p w14:paraId="3218A1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174728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430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1189AAB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2215" w:type="dxa"/>
            <w:vAlign w:val="center"/>
          </w:tcPr>
          <w:p w14:paraId="4B54056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黑板灯</w:t>
            </w:r>
          </w:p>
        </w:tc>
        <w:tc>
          <w:tcPr>
            <w:tcW w:w="1481" w:type="dxa"/>
            <w:vAlign w:val="center"/>
          </w:tcPr>
          <w:p w14:paraId="6BB52A2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盏</w:t>
            </w:r>
          </w:p>
        </w:tc>
        <w:tc>
          <w:tcPr>
            <w:tcW w:w="1227" w:type="dxa"/>
            <w:vAlign w:val="center"/>
          </w:tcPr>
          <w:p w14:paraId="4254EF6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68" w:type="dxa"/>
            <w:vAlign w:val="center"/>
          </w:tcPr>
          <w:p w14:paraId="47A9CC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2B0E1F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CEA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16DF723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2215" w:type="dxa"/>
            <w:vAlign w:val="center"/>
          </w:tcPr>
          <w:p w14:paraId="6108889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水路铺设</w:t>
            </w:r>
          </w:p>
        </w:tc>
        <w:tc>
          <w:tcPr>
            <w:tcW w:w="1481" w:type="dxa"/>
            <w:vAlign w:val="center"/>
          </w:tcPr>
          <w:p w14:paraId="5C0B83B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27" w:type="dxa"/>
            <w:vAlign w:val="center"/>
          </w:tcPr>
          <w:p w14:paraId="6744539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68" w:type="dxa"/>
            <w:vAlign w:val="center"/>
          </w:tcPr>
          <w:p w14:paraId="10D2AD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6BB03E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167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7" w:type="dxa"/>
            <w:vAlign w:val="center"/>
          </w:tcPr>
          <w:p w14:paraId="5241C53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2215" w:type="dxa"/>
            <w:vAlign w:val="center"/>
          </w:tcPr>
          <w:p w14:paraId="298CBB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拆旧</w:t>
            </w:r>
          </w:p>
        </w:tc>
        <w:tc>
          <w:tcPr>
            <w:tcW w:w="1481" w:type="dxa"/>
            <w:vAlign w:val="center"/>
          </w:tcPr>
          <w:p w14:paraId="049BCCD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项</w:t>
            </w:r>
          </w:p>
        </w:tc>
        <w:tc>
          <w:tcPr>
            <w:tcW w:w="1227" w:type="dxa"/>
            <w:vAlign w:val="center"/>
          </w:tcPr>
          <w:p w14:paraId="15D51E7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24CCC2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44E142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EBC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7" w:type="dxa"/>
            <w:vAlign w:val="center"/>
          </w:tcPr>
          <w:p w14:paraId="7DF688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215" w:type="dxa"/>
            <w:vAlign w:val="center"/>
          </w:tcPr>
          <w:p w14:paraId="466C4B1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出入口改造</w:t>
            </w:r>
          </w:p>
        </w:tc>
        <w:tc>
          <w:tcPr>
            <w:tcW w:w="1481" w:type="dxa"/>
            <w:vAlign w:val="center"/>
          </w:tcPr>
          <w:p w14:paraId="24ED0FE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项</w:t>
            </w:r>
          </w:p>
        </w:tc>
        <w:tc>
          <w:tcPr>
            <w:tcW w:w="1227" w:type="dxa"/>
            <w:vAlign w:val="center"/>
          </w:tcPr>
          <w:p w14:paraId="1374FE3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3B310D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3F8667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C0C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7" w:type="dxa"/>
            <w:vAlign w:val="center"/>
          </w:tcPr>
          <w:p w14:paraId="225218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215" w:type="dxa"/>
            <w:vAlign w:val="center"/>
          </w:tcPr>
          <w:p w14:paraId="55F2768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防盗门</w:t>
            </w:r>
          </w:p>
        </w:tc>
        <w:tc>
          <w:tcPr>
            <w:tcW w:w="1481" w:type="dxa"/>
            <w:vAlign w:val="center"/>
          </w:tcPr>
          <w:p w14:paraId="4AE9693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227" w:type="dxa"/>
            <w:vAlign w:val="center"/>
          </w:tcPr>
          <w:p w14:paraId="488EFC5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68" w:type="dxa"/>
            <w:vAlign w:val="center"/>
          </w:tcPr>
          <w:p w14:paraId="2518FF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46E083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C25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F747A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2215" w:type="dxa"/>
            <w:vAlign w:val="center"/>
          </w:tcPr>
          <w:p w14:paraId="3C7A31A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水电接入</w:t>
            </w:r>
          </w:p>
        </w:tc>
        <w:tc>
          <w:tcPr>
            <w:tcW w:w="1481" w:type="dxa"/>
            <w:vAlign w:val="center"/>
          </w:tcPr>
          <w:p w14:paraId="1743877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项</w:t>
            </w:r>
          </w:p>
        </w:tc>
        <w:tc>
          <w:tcPr>
            <w:tcW w:w="1227" w:type="dxa"/>
            <w:vAlign w:val="center"/>
          </w:tcPr>
          <w:p w14:paraId="3CCB17C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68" w:type="dxa"/>
            <w:vAlign w:val="center"/>
          </w:tcPr>
          <w:p w14:paraId="531AB4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3D8BB2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C00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894F1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2215" w:type="dxa"/>
            <w:vAlign w:val="center"/>
          </w:tcPr>
          <w:p w14:paraId="2E4D0D9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空调</w:t>
            </w:r>
          </w:p>
        </w:tc>
        <w:tc>
          <w:tcPr>
            <w:tcW w:w="1481" w:type="dxa"/>
            <w:vAlign w:val="center"/>
          </w:tcPr>
          <w:p w14:paraId="377AD1D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1227" w:type="dxa"/>
            <w:vAlign w:val="center"/>
          </w:tcPr>
          <w:p w14:paraId="28047A7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68" w:type="dxa"/>
            <w:vAlign w:val="center"/>
          </w:tcPr>
          <w:p w14:paraId="34EADA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5" w:type="dxa"/>
            <w:vAlign w:val="center"/>
          </w:tcPr>
          <w:p w14:paraId="277694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1BC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73" w:type="dxa"/>
            <w:gridSpan w:val="6"/>
            <w:vAlign w:val="center"/>
          </w:tcPr>
          <w:p w14:paraId="7E8BA7B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燃气管改扩建工程</w:t>
            </w:r>
          </w:p>
        </w:tc>
      </w:tr>
      <w:tr w14:paraId="0E0B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B344EC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30</w:t>
            </w:r>
          </w:p>
        </w:tc>
        <w:tc>
          <w:tcPr>
            <w:tcW w:w="2215" w:type="dxa"/>
            <w:vAlign w:val="center"/>
          </w:tcPr>
          <w:p w14:paraId="0F2FC6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氮气置换</w:t>
            </w:r>
          </w:p>
        </w:tc>
        <w:tc>
          <w:tcPr>
            <w:tcW w:w="1481" w:type="dxa"/>
            <w:vAlign w:val="center"/>
          </w:tcPr>
          <w:p w14:paraId="1B5DA78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1227" w:type="dxa"/>
            <w:vAlign w:val="center"/>
          </w:tcPr>
          <w:p w14:paraId="778F57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04FCCB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5FD055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486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0220EA5">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31</w:t>
            </w:r>
          </w:p>
        </w:tc>
        <w:tc>
          <w:tcPr>
            <w:tcW w:w="2215" w:type="dxa"/>
            <w:vAlign w:val="center"/>
          </w:tcPr>
          <w:p w14:paraId="180CAD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氮气放散点及检测点设置</w:t>
            </w:r>
          </w:p>
        </w:tc>
        <w:tc>
          <w:tcPr>
            <w:tcW w:w="1481" w:type="dxa"/>
            <w:vAlign w:val="center"/>
          </w:tcPr>
          <w:p w14:paraId="590981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1227" w:type="dxa"/>
            <w:vAlign w:val="center"/>
          </w:tcPr>
          <w:p w14:paraId="7C1FE93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572982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53D95A4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4D8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1362EA0">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32</w:t>
            </w:r>
          </w:p>
        </w:tc>
        <w:tc>
          <w:tcPr>
            <w:tcW w:w="2215" w:type="dxa"/>
            <w:vAlign w:val="center"/>
          </w:tcPr>
          <w:p w14:paraId="0ACDFC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氮气</w:t>
            </w:r>
          </w:p>
        </w:tc>
        <w:tc>
          <w:tcPr>
            <w:tcW w:w="1481" w:type="dxa"/>
            <w:vAlign w:val="center"/>
          </w:tcPr>
          <w:p w14:paraId="35B9015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瓶</w:t>
            </w:r>
          </w:p>
        </w:tc>
        <w:tc>
          <w:tcPr>
            <w:tcW w:w="1227" w:type="dxa"/>
            <w:vAlign w:val="center"/>
          </w:tcPr>
          <w:p w14:paraId="7BE08B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1268" w:type="dxa"/>
            <w:vAlign w:val="center"/>
          </w:tcPr>
          <w:p w14:paraId="228832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F0837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0A8F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BAC2E8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33</w:t>
            </w:r>
          </w:p>
        </w:tc>
        <w:tc>
          <w:tcPr>
            <w:tcW w:w="2215" w:type="dxa"/>
            <w:vAlign w:val="center"/>
          </w:tcPr>
          <w:p w14:paraId="7CD76C0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新旧管连接</w:t>
            </w:r>
          </w:p>
        </w:tc>
        <w:tc>
          <w:tcPr>
            <w:tcW w:w="1481" w:type="dxa"/>
            <w:vAlign w:val="center"/>
          </w:tcPr>
          <w:p w14:paraId="227AA3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1227" w:type="dxa"/>
            <w:vAlign w:val="center"/>
          </w:tcPr>
          <w:p w14:paraId="7ACB1C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3D69C9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92D59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985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04E41AC">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34</w:t>
            </w:r>
          </w:p>
        </w:tc>
        <w:tc>
          <w:tcPr>
            <w:tcW w:w="2215" w:type="dxa"/>
            <w:vAlign w:val="center"/>
          </w:tcPr>
          <w:p w14:paraId="60A04BC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放散点设置</w:t>
            </w:r>
          </w:p>
        </w:tc>
        <w:tc>
          <w:tcPr>
            <w:tcW w:w="1481" w:type="dxa"/>
            <w:vAlign w:val="center"/>
          </w:tcPr>
          <w:p w14:paraId="2E161D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1227" w:type="dxa"/>
            <w:vAlign w:val="center"/>
          </w:tcPr>
          <w:p w14:paraId="5F93AC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5B2E211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A4049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B83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EBDFE49">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35</w:t>
            </w:r>
          </w:p>
        </w:tc>
        <w:tc>
          <w:tcPr>
            <w:tcW w:w="2215" w:type="dxa"/>
            <w:vAlign w:val="center"/>
          </w:tcPr>
          <w:p w14:paraId="7AFD4E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打洞（混凝土墙）</w:t>
            </w:r>
          </w:p>
        </w:tc>
        <w:tc>
          <w:tcPr>
            <w:tcW w:w="1481" w:type="dxa"/>
            <w:vAlign w:val="center"/>
          </w:tcPr>
          <w:p w14:paraId="30AE7A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330E96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488356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01BF3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4379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579684F">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36</w:t>
            </w:r>
          </w:p>
        </w:tc>
        <w:tc>
          <w:tcPr>
            <w:tcW w:w="2215" w:type="dxa"/>
            <w:vAlign w:val="center"/>
          </w:tcPr>
          <w:p w14:paraId="05E7E5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过墙过楼板钢套管制作安装</w:t>
            </w:r>
          </w:p>
        </w:tc>
        <w:tc>
          <w:tcPr>
            <w:tcW w:w="1481" w:type="dxa"/>
            <w:vAlign w:val="center"/>
          </w:tcPr>
          <w:p w14:paraId="299C49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72B249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2366D62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E338F0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9F7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8D5E7E5">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37</w:t>
            </w:r>
          </w:p>
        </w:tc>
        <w:tc>
          <w:tcPr>
            <w:tcW w:w="2215" w:type="dxa"/>
            <w:vAlign w:val="center"/>
          </w:tcPr>
          <w:p w14:paraId="27DD90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热伸缩套</w:t>
            </w:r>
          </w:p>
        </w:tc>
        <w:tc>
          <w:tcPr>
            <w:tcW w:w="1481" w:type="dxa"/>
            <w:vAlign w:val="center"/>
          </w:tcPr>
          <w:p w14:paraId="692BAA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16174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12885C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0B78EF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FFD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CBE07E8">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38</w:t>
            </w:r>
          </w:p>
        </w:tc>
        <w:tc>
          <w:tcPr>
            <w:tcW w:w="2215" w:type="dxa"/>
            <w:vAlign w:val="center"/>
          </w:tcPr>
          <w:p w14:paraId="26CB9E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钢管(室内  室外)</w:t>
            </w:r>
          </w:p>
        </w:tc>
        <w:tc>
          <w:tcPr>
            <w:tcW w:w="1481" w:type="dxa"/>
            <w:vAlign w:val="center"/>
          </w:tcPr>
          <w:p w14:paraId="2D675F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47230E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48.8 </w:t>
            </w:r>
          </w:p>
        </w:tc>
        <w:tc>
          <w:tcPr>
            <w:tcW w:w="1268" w:type="dxa"/>
            <w:vAlign w:val="center"/>
          </w:tcPr>
          <w:p w14:paraId="0D97F9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CCD46C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E91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3A4F5BC">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39</w:t>
            </w:r>
          </w:p>
        </w:tc>
        <w:tc>
          <w:tcPr>
            <w:tcW w:w="2215" w:type="dxa"/>
            <w:vAlign w:val="center"/>
          </w:tcPr>
          <w:p w14:paraId="640604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钢管(室内  室外)</w:t>
            </w:r>
          </w:p>
        </w:tc>
        <w:tc>
          <w:tcPr>
            <w:tcW w:w="1481" w:type="dxa"/>
            <w:vAlign w:val="center"/>
          </w:tcPr>
          <w:p w14:paraId="61AA45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05063A9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18.8</w:t>
            </w:r>
          </w:p>
        </w:tc>
        <w:tc>
          <w:tcPr>
            <w:tcW w:w="1268" w:type="dxa"/>
            <w:vAlign w:val="center"/>
          </w:tcPr>
          <w:p w14:paraId="59FCE8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C00D6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722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10DECDE">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40</w:t>
            </w:r>
          </w:p>
        </w:tc>
        <w:tc>
          <w:tcPr>
            <w:tcW w:w="2215" w:type="dxa"/>
            <w:vAlign w:val="center"/>
          </w:tcPr>
          <w:p w14:paraId="7F1B73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钢管(室内  室外)</w:t>
            </w:r>
          </w:p>
        </w:tc>
        <w:tc>
          <w:tcPr>
            <w:tcW w:w="1481" w:type="dxa"/>
            <w:vAlign w:val="center"/>
          </w:tcPr>
          <w:p w14:paraId="23A5141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422DD88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w:t>
            </w:r>
          </w:p>
        </w:tc>
        <w:tc>
          <w:tcPr>
            <w:tcW w:w="1268" w:type="dxa"/>
            <w:vAlign w:val="center"/>
          </w:tcPr>
          <w:p w14:paraId="4BB9AEF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71BB1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B0E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C565512">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41</w:t>
            </w:r>
          </w:p>
        </w:tc>
        <w:tc>
          <w:tcPr>
            <w:tcW w:w="2215" w:type="dxa"/>
            <w:vAlign w:val="center"/>
          </w:tcPr>
          <w:p w14:paraId="157DD4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81" w:type="dxa"/>
            <w:vAlign w:val="center"/>
          </w:tcPr>
          <w:p w14:paraId="1CEA00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13F9793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1.6 </w:t>
            </w:r>
          </w:p>
        </w:tc>
        <w:tc>
          <w:tcPr>
            <w:tcW w:w="1268" w:type="dxa"/>
            <w:vAlign w:val="center"/>
          </w:tcPr>
          <w:p w14:paraId="5AB67B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015A8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0B1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5097C3F">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42</w:t>
            </w:r>
          </w:p>
        </w:tc>
        <w:tc>
          <w:tcPr>
            <w:tcW w:w="2215" w:type="dxa"/>
            <w:vAlign w:val="center"/>
          </w:tcPr>
          <w:p w14:paraId="0275B9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1481" w:type="dxa"/>
            <w:vAlign w:val="center"/>
          </w:tcPr>
          <w:p w14:paraId="16AF14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1227" w:type="dxa"/>
            <w:vAlign w:val="center"/>
          </w:tcPr>
          <w:p w14:paraId="3166FC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c>
          <w:tcPr>
            <w:tcW w:w="1268" w:type="dxa"/>
            <w:vAlign w:val="center"/>
          </w:tcPr>
          <w:p w14:paraId="5F9E6D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1F6754C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EC7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F97BA8E">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43</w:t>
            </w:r>
          </w:p>
        </w:tc>
        <w:tc>
          <w:tcPr>
            <w:tcW w:w="2215" w:type="dxa"/>
            <w:vAlign w:val="center"/>
          </w:tcPr>
          <w:p w14:paraId="5118DD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1481" w:type="dxa"/>
            <w:vAlign w:val="center"/>
          </w:tcPr>
          <w:p w14:paraId="2C7E28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1227" w:type="dxa"/>
            <w:vAlign w:val="center"/>
          </w:tcPr>
          <w:p w14:paraId="092D37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c>
          <w:tcPr>
            <w:tcW w:w="1268" w:type="dxa"/>
            <w:vAlign w:val="center"/>
          </w:tcPr>
          <w:p w14:paraId="20C4FA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5EB114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5A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E92C632">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44</w:t>
            </w:r>
          </w:p>
        </w:tc>
        <w:tc>
          <w:tcPr>
            <w:tcW w:w="2215" w:type="dxa"/>
            <w:vAlign w:val="center"/>
          </w:tcPr>
          <w:p w14:paraId="037F34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1481" w:type="dxa"/>
            <w:vAlign w:val="center"/>
          </w:tcPr>
          <w:p w14:paraId="56279E5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1227" w:type="dxa"/>
            <w:vAlign w:val="center"/>
          </w:tcPr>
          <w:p w14:paraId="6A0E9A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c>
          <w:tcPr>
            <w:tcW w:w="1268" w:type="dxa"/>
            <w:vAlign w:val="center"/>
          </w:tcPr>
          <w:p w14:paraId="79DCC7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65686F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0715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30B4F2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45</w:t>
            </w:r>
          </w:p>
        </w:tc>
        <w:tc>
          <w:tcPr>
            <w:tcW w:w="2215" w:type="dxa"/>
            <w:vAlign w:val="center"/>
          </w:tcPr>
          <w:p w14:paraId="71499A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1481" w:type="dxa"/>
            <w:vAlign w:val="center"/>
          </w:tcPr>
          <w:p w14:paraId="262C1A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1227" w:type="dxa"/>
            <w:vAlign w:val="center"/>
          </w:tcPr>
          <w:p w14:paraId="7AC4D7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12.6 </w:t>
            </w:r>
          </w:p>
        </w:tc>
        <w:tc>
          <w:tcPr>
            <w:tcW w:w="1268" w:type="dxa"/>
            <w:vAlign w:val="center"/>
          </w:tcPr>
          <w:p w14:paraId="7836CC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B7CC6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45D3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3A032F4">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46</w:t>
            </w:r>
          </w:p>
        </w:tc>
        <w:tc>
          <w:tcPr>
            <w:tcW w:w="2215" w:type="dxa"/>
            <w:vAlign w:val="center"/>
          </w:tcPr>
          <w:p w14:paraId="4CFE8EA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管道除锈、油漆</w:t>
            </w:r>
          </w:p>
        </w:tc>
        <w:tc>
          <w:tcPr>
            <w:tcW w:w="1481" w:type="dxa"/>
            <w:vAlign w:val="center"/>
          </w:tcPr>
          <w:p w14:paraId="58F1EDF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r>
              <w:rPr>
                <w:rStyle w:val="126"/>
                <w:rFonts w:hint="eastAsia" w:ascii="仿宋" w:hAnsi="仿宋" w:eastAsia="仿宋" w:cs="仿宋"/>
                <w:sz w:val="24"/>
                <w:szCs w:val="24"/>
                <w:highlight w:val="none"/>
                <w:lang w:val="en-US" w:eastAsia="zh-CN" w:bidi="ar"/>
              </w:rPr>
              <w:t>2</w:t>
            </w:r>
          </w:p>
        </w:tc>
        <w:tc>
          <w:tcPr>
            <w:tcW w:w="1227" w:type="dxa"/>
            <w:vAlign w:val="center"/>
          </w:tcPr>
          <w:p w14:paraId="246587E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12.60</w:t>
            </w:r>
          </w:p>
        </w:tc>
        <w:tc>
          <w:tcPr>
            <w:tcW w:w="1268" w:type="dxa"/>
            <w:vAlign w:val="center"/>
          </w:tcPr>
          <w:p w14:paraId="63F4B9E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01C152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4074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548E5E3E">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47</w:t>
            </w:r>
          </w:p>
        </w:tc>
        <w:tc>
          <w:tcPr>
            <w:tcW w:w="2215" w:type="dxa"/>
            <w:vAlign w:val="center"/>
          </w:tcPr>
          <w:p w14:paraId="19494D6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管道压力试验</w:t>
            </w:r>
          </w:p>
        </w:tc>
        <w:tc>
          <w:tcPr>
            <w:tcW w:w="1481" w:type="dxa"/>
            <w:vAlign w:val="center"/>
          </w:tcPr>
          <w:p w14:paraId="6C2DA5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4614F9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81.2</w:t>
            </w:r>
          </w:p>
        </w:tc>
        <w:tc>
          <w:tcPr>
            <w:tcW w:w="1268" w:type="dxa"/>
            <w:vAlign w:val="center"/>
          </w:tcPr>
          <w:p w14:paraId="3CE1EA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C8F49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44F3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AA1E62E">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48</w:t>
            </w:r>
          </w:p>
        </w:tc>
        <w:tc>
          <w:tcPr>
            <w:tcW w:w="2215" w:type="dxa"/>
            <w:vAlign w:val="center"/>
          </w:tcPr>
          <w:p w14:paraId="008495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w:t>
            </w:r>
          </w:p>
        </w:tc>
        <w:tc>
          <w:tcPr>
            <w:tcW w:w="1481" w:type="dxa"/>
            <w:vAlign w:val="center"/>
          </w:tcPr>
          <w:p w14:paraId="2BE1710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16B29D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1268" w:type="dxa"/>
            <w:vAlign w:val="center"/>
          </w:tcPr>
          <w:p w14:paraId="73ED88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8462A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715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CB8D835">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49</w:t>
            </w:r>
          </w:p>
        </w:tc>
        <w:tc>
          <w:tcPr>
            <w:tcW w:w="2215" w:type="dxa"/>
            <w:vAlign w:val="center"/>
          </w:tcPr>
          <w:p w14:paraId="3C6B46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w:t>
            </w:r>
          </w:p>
        </w:tc>
        <w:tc>
          <w:tcPr>
            <w:tcW w:w="1481" w:type="dxa"/>
            <w:vAlign w:val="center"/>
          </w:tcPr>
          <w:p w14:paraId="24EA9A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2E490C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1268" w:type="dxa"/>
            <w:vAlign w:val="center"/>
          </w:tcPr>
          <w:p w14:paraId="04B491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A3FD3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799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1095A16">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50</w:t>
            </w:r>
          </w:p>
        </w:tc>
        <w:tc>
          <w:tcPr>
            <w:tcW w:w="2215" w:type="dxa"/>
            <w:vAlign w:val="center"/>
          </w:tcPr>
          <w:p w14:paraId="3E5163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法兰盖</w:t>
            </w:r>
          </w:p>
        </w:tc>
        <w:tc>
          <w:tcPr>
            <w:tcW w:w="1481" w:type="dxa"/>
            <w:vAlign w:val="center"/>
          </w:tcPr>
          <w:p w14:paraId="4892DE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7A8AF8A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46ADC16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79050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3E1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FDA811F">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51</w:t>
            </w:r>
          </w:p>
        </w:tc>
        <w:tc>
          <w:tcPr>
            <w:tcW w:w="2215" w:type="dxa"/>
            <w:vAlign w:val="center"/>
          </w:tcPr>
          <w:p w14:paraId="6E59C9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钢制管件</w:t>
            </w:r>
          </w:p>
        </w:tc>
        <w:tc>
          <w:tcPr>
            <w:tcW w:w="1481" w:type="dxa"/>
            <w:vAlign w:val="center"/>
          </w:tcPr>
          <w:p w14:paraId="7793352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4F43F3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11 </w:t>
            </w:r>
          </w:p>
        </w:tc>
        <w:tc>
          <w:tcPr>
            <w:tcW w:w="1268" w:type="dxa"/>
            <w:vAlign w:val="center"/>
          </w:tcPr>
          <w:p w14:paraId="0B963B9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2FCA5E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8D9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0C9A371">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52</w:t>
            </w:r>
          </w:p>
        </w:tc>
        <w:tc>
          <w:tcPr>
            <w:tcW w:w="2215" w:type="dxa"/>
            <w:vAlign w:val="center"/>
          </w:tcPr>
          <w:p w14:paraId="021FBD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钢制管件</w:t>
            </w:r>
          </w:p>
        </w:tc>
        <w:tc>
          <w:tcPr>
            <w:tcW w:w="1481" w:type="dxa"/>
            <w:vAlign w:val="center"/>
          </w:tcPr>
          <w:p w14:paraId="46FAAB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0352B5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 </w:t>
            </w:r>
          </w:p>
        </w:tc>
        <w:tc>
          <w:tcPr>
            <w:tcW w:w="1268" w:type="dxa"/>
            <w:vAlign w:val="center"/>
          </w:tcPr>
          <w:p w14:paraId="693ED5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0ED868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BDB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0073344D">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53</w:t>
            </w:r>
          </w:p>
        </w:tc>
        <w:tc>
          <w:tcPr>
            <w:tcW w:w="2215" w:type="dxa"/>
            <w:vAlign w:val="center"/>
          </w:tcPr>
          <w:p w14:paraId="1632E8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钢制管件</w:t>
            </w:r>
          </w:p>
        </w:tc>
        <w:tc>
          <w:tcPr>
            <w:tcW w:w="1481" w:type="dxa"/>
            <w:vAlign w:val="center"/>
          </w:tcPr>
          <w:p w14:paraId="70FAE0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295E7E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13</w:t>
            </w:r>
          </w:p>
        </w:tc>
        <w:tc>
          <w:tcPr>
            <w:tcW w:w="1268" w:type="dxa"/>
            <w:vAlign w:val="center"/>
          </w:tcPr>
          <w:p w14:paraId="26F3CB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F5971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6284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B5B77A4">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54</w:t>
            </w:r>
          </w:p>
        </w:tc>
        <w:tc>
          <w:tcPr>
            <w:tcW w:w="2215" w:type="dxa"/>
            <w:vAlign w:val="center"/>
          </w:tcPr>
          <w:p w14:paraId="2DCED52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X射线透视</w:t>
            </w:r>
          </w:p>
        </w:tc>
        <w:tc>
          <w:tcPr>
            <w:tcW w:w="1481" w:type="dxa"/>
            <w:vAlign w:val="center"/>
          </w:tcPr>
          <w:p w14:paraId="37A3BDB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w:t>
            </w:r>
          </w:p>
        </w:tc>
        <w:tc>
          <w:tcPr>
            <w:tcW w:w="1227" w:type="dxa"/>
            <w:vAlign w:val="center"/>
          </w:tcPr>
          <w:p w14:paraId="3ED7CFE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30 </w:t>
            </w:r>
          </w:p>
        </w:tc>
        <w:tc>
          <w:tcPr>
            <w:tcW w:w="1268" w:type="dxa"/>
            <w:vAlign w:val="center"/>
          </w:tcPr>
          <w:p w14:paraId="07845CF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5545D1A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D38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5C20471C">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55</w:t>
            </w:r>
          </w:p>
        </w:tc>
        <w:tc>
          <w:tcPr>
            <w:tcW w:w="2215" w:type="dxa"/>
            <w:vAlign w:val="center"/>
          </w:tcPr>
          <w:p w14:paraId="03F4CF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补偿器(金属软管)</w:t>
            </w:r>
          </w:p>
        </w:tc>
        <w:tc>
          <w:tcPr>
            <w:tcW w:w="1481" w:type="dxa"/>
            <w:vAlign w:val="center"/>
          </w:tcPr>
          <w:p w14:paraId="5CAECE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1B76D6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c>
          <w:tcPr>
            <w:tcW w:w="1268" w:type="dxa"/>
            <w:vAlign w:val="center"/>
          </w:tcPr>
          <w:p w14:paraId="3C5E5E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1D73BB3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3E27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53A71899">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56</w:t>
            </w:r>
          </w:p>
        </w:tc>
        <w:tc>
          <w:tcPr>
            <w:tcW w:w="2215" w:type="dxa"/>
            <w:vAlign w:val="center"/>
          </w:tcPr>
          <w:p w14:paraId="4E02685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单头螺纹短接</w:t>
            </w:r>
          </w:p>
        </w:tc>
        <w:tc>
          <w:tcPr>
            <w:tcW w:w="1481" w:type="dxa"/>
            <w:vAlign w:val="center"/>
          </w:tcPr>
          <w:p w14:paraId="69D57A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6F75CC3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1268" w:type="dxa"/>
            <w:vAlign w:val="center"/>
          </w:tcPr>
          <w:p w14:paraId="11FBED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5A031D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353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50F29B20">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57</w:t>
            </w:r>
          </w:p>
        </w:tc>
        <w:tc>
          <w:tcPr>
            <w:tcW w:w="2215" w:type="dxa"/>
            <w:vAlign w:val="center"/>
          </w:tcPr>
          <w:p w14:paraId="2EB29D3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管道支吊架（制作）</w:t>
            </w:r>
          </w:p>
        </w:tc>
        <w:tc>
          <w:tcPr>
            <w:tcW w:w="1481" w:type="dxa"/>
            <w:vAlign w:val="center"/>
          </w:tcPr>
          <w:p w14:paraId="2C1858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kg</w:t>
            </w:r>
          </w:p>
        </w:tc>
        <w:tc>
          <w:tcPr>
            <w:tcW w:w="1227" w:type="dxa"/>
            <w:vAlign w:val="center"/>
          </w:tcPr>
          <w:p w14:paraId="24016FD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88.22 </w:t>
            </w:r>
          </w:p>
        </w:tc>
        <w:tc>
          <w:tcPr>
            <w:tcW w:w="1268" w:type="dxa"/>
            <w:vAlign w:val="center"/>
          </w:tcPr>
          <w:p w14:paraId="4D8BA1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6FF4C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39D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AD6F48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58</w:t>
            </w:r>
          </w:p>
        </w:tc>
        <w:tc>
          <w:tcPr>
            <w:tcW w:w="2215" w:type="dxa"/>
            <w:vAlign w:val="center"/>
          </w:tcPr>
          <w:p w14:paraId="7FF9A4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管道支吊架（安装）</w:t>
            </w:r>
          </w:p>
        </w:tc>
        <w:tc>
          <w:tcPr>
            <w:tcW w:w="1481" w:type="dxa"/>
            <w:vAlign w:val="center"/>
          </w:tcPr>
          <w:p w14:paraId="6A3C08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kg</w:t>
            </w:r>
          </w:p>
        </w:tc>
        <w:tc>
          <w:tcPr>
            <w:tcW w:w="1227" w:type="dxa"/>
            <w:vAlign w:val="center"/>
          </w:tcPr>
          <w:p w14:paraId="1C2ADE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88.22 </w:t>
            </w:r>
          </w:p>
        </w:tc>
        <w:tc>
          <w:tcPr>
            <w:tcW w:w="1268" w:type="dxa"/>
            <w:vAlign w:val="center"/>
          </w:tcPr>
          <w:p w14:paraId="036E21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582DA0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E78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7868132">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59</w:t>
            </w:r>
          </w:p>
        </w:tc>
        <w:tc>
          <w:tcPr>
            <w:tcW w:w="2215" w:type="dxa"/>
            <w:vAlign w:val="center"/>
          </w:tcPr>
          <w:p w14:paraId="778E998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金属结构刷油</w:t>
            </w:r>
          </w:p>
        </w:tc>
        <w:tc>
          <w:tcPr>
            <w:tcW w:w="1481" w:type="dxa"/>
            <w:vAlign w:val="center"/>
          </w:tcPr>
          <w:p w14:paraId="78290B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kg</w:t>
            </w:r>
          </w:p>
        </w:tc>
        <w:tc>
          <w:tcPr>
            <w:tcW w:w="1227" w:type="dxa"/>
            <w:vAlign w:val="center"/>
          </w:tcPr>
          <w:p w14:paraId="75CFEFA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88.22 </w:t>
            </w:r>
          </w:p>
        </w:tc>
        <w:tc>
          <w:tcPr>
            <w:tcW w:w="1268" w:type="dxa"/>
            <w:vAlign w:val="center"/>
          </w:tcPr>
          <w:p w14:paraId="60C6121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8B71E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57A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77AA999">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60</w:t>
            </w:r>
          </w:p>
        </w:tc>
        <w:tc>
          <w:tcPr>
            <w:tcW w:w="2215" w:type="dxa"/>
            <w:vAlign w:val="center"/>
          </w:tcPr>
          <w:p w14:paraId="76D03D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U型抱箍</w:t>
            </w:r>
          </w:p>
        </w:tc>
        <w:tc>
          <w:tcPr>
            <w:tcW w:w="1481" w:type="dxa"/>
            <w:vAlign w:val="center"/>
          </w:tcPr>
          <w:p w14:paraId="69459B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6A8BED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27 </w:t>
            </w:r>
          </w:p>
        </w:tc>
        <w:tc>
          <w:tcPr>
            <w:tcW w:w="1268" w:type="dxa"/>
            <w:vAlign w:val="center"/>
          </w:tcPr>
          <w:p w14:paraId="76CA30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FC6A2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EE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7C357C6">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61</w:t>
            </w:r>
          </w:p>
        </w:tc>
        <w:tc>
          <w:tcPr>
            <w:tcW w:w="2215" w:type="dxa"/>
            <w:vAlign w:val="center"/>
          </w:tcPr>
          <w:p w14:paraId="75D8E8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膨胀螺丝</w:t>
            </w:r>
          </w:p>
        </w:tc>
        <w:tc>
          <w:tcPr>
            <w:tcW w:w="1481" w:type="dxa"/>
            <w:vAlign w:val="center"/>
          </w:tcPr>
          <w:p w14:paraId="32C984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75B281A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42 </w:t>
            </w:r>
          </w:p>
        </w:tc>
        <w:tc>
          <w:tcPr>
            <w:tcW w:w="1268" w:type="dxa"/>
            <w:vAlign w:val="center"/>
          </w:tcPr>
          <w:p w14:paraId="14863A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296B6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0571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862F807">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62</w:t>
            </w:r>
          </w:p>
        </w:tc>
        <w:tc>
          <w:tcPr>
            <w:tcW w:w="2215" w:type="dxa"/>
            <w:vAlign w:val="center"/>
          </w:tcPr>
          <w:p w14:paraId="360D72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顶层现浇支墩</w:t>
            </w:r>
          </w:p>
        </w:tc>
        <w:tc>
          <w:tcPr>
            <w:tcW w:w="1481" w:type="dxa"/>
            <w:vAlign w:val="center"/>
          </w:tcPr>
          <w:p w14:paraId="7AB883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1E827C2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6 </w:t>
            </w:r>
          </w:p>
        </w:tc>
        <w:tc>
          <w:tcPr>
            <w:tcW w:w="1268" w:type="dxa"/>
            <w:vAlign w:val="center"/>
          </w:tcPr>
          <w:p w14:paraId="510D98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E9917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892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C1391CF">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63</w:t>
            </w:r>
          </w:p>
        </w:tc>
        <w:tc>
          <w:tcPr>
            <w:tcW w:w="2215" w:type="dxa"/>
            <w:vAlign w:val="center"/>
          </w:tcPr>
          <w:p w14:paraId="045987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法兰阀门</w:t>
            </w:r>
          </w:p>
        </w:tc>
        <w:tc>
          <w:tcPr>
            <w:tcW w:w="1481" w:type="dxa"/>
            <w:vAlign w:val="center"/>
          </w:tcPr>
          <w:p w14:paraId="700BA6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4A2227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62A1F3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08033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A13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EDFE9AC">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64</w:t>
            </w:r>
          </w:p>
        </w:tc>
        <w:tc>
          <w:tcPr>
            <w:tcW w:w="2215" w:type="dxa"/>
            <w:vAlign w:val="center"/>
          </w:tcPr>
          <w:p w14:paraId="1E10D7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法兰阀门</w:t>
            </w:r>
          </w:p>
        </w:tc>
        <w:tc>
          <w:tcPr>
            <w:tcW w:w="1481" w:type="dxa"/>
            <w:vAlign w:val="center"/>
          </w:tcPr>
          <w:p w14:paraId="1D3349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73F028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238574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4FFEC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4FBE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B3D6D22">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65</w:t>
            </w:r>
          </w:p>
        </w:tc>
        <w:tc>
          <w:tcPr>
            <w:tcW w:w="2215" w:type="dxa"/>
            <w:vAlign w:val="center"/>
          </w:tcPr>
          <w:p w14:paraId="2AFEE2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丝扣阀门</w:t>
            </w:r>
          </w:p>
        </w:tc>
        <w:tc>
          <w:tcPr>
            <w:tcW w:w="1481" w:type="dxa"/>
            <w:vAlign w:val="center"/>
          </w:tcPr>
          <w:p w14:paraId="344EB7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11098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c>
          <w:tcPr>
            <w:tcW w:w="1268" w:type="dxa"/>
            <w:vAlign w:val="center"/>
          </w:tcPr>
          <w:p w14:paraId="776E5A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95EBC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479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9842490">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66</w:t>
            </w:r>
          </w:p>
        </w:tc>
        <w:tc>
          <w:tcPr>
            <w:tcW w:w="2215" w:type="dxa"/>
            <w:vAlign w:val="center"/>
          </w:tcPr>
          <w:p w14:paraId="6D20E3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阀门试验</w:t>
            </w:r>
          </w:p>
        </w:tc>
        <w:tc>
          <w:tcPr>
            <w:tcW w:w="1481" w:type="dxa"/>
            <w:vAlign w:val="center"/>
          </w:tcPr>
          <w:p w14:paraId="254120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661032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1268" w:type="dxa"/>
            <w:vAlign w:val="center"/>
          </w:tcPr>
          <w:p w14:paraId="465B9A0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A3189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4C05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0E45343B">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67</w:t>
            </w:r>
          </w:p>
        </w:tc>
        <w:tc>
          <w:tcPr>
            <w:tcW w:w="2215" w:type="dxa"/>
            <w:vAlign w:val="center"/>
          </w:tcPr>
          <w:p w14:paraId="595677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电磁阀</w:t>
            </w:r>
          </w:p>
        </w:tc>
        <w:tc>
          <w:tcPr>
            <w:tcW w:w="1481" w:type="dxa"/>
            <w:vAlign w:val="center"/>
          </w:tcPr>
          <w:p w14:paraId="530EB4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3C0104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341A54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F050D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A59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E8065E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68</w:t>
            </w:r>
          </w:p>
        </w:tc>
        <w:tc>
          <w:tcPr>
            <w:tcW w:w="2215" w:type="dxa"/>
            <w:vAlign w:val="center"/>
          </w:tcPr>
          <w:p w14:paraId="0A0ECB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不锈钢防雨箱（柜）</w:t>
            </w:r>
          </w:p>
        </w:tc>
        <w:tc>
          <w:tcPr>
            <w:tcW w:w="1481" w:type="dxa"/>
            <w:vAlign w:val="center"/>
          </w:tcPr>
          <w:p w14:paraId="1F7356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466EDC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227F3D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AAE16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AA5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20D66CD">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69</w:t>
            </w:r>
          </w:p>
        </w:tc>
        <w:tc>
          <w:tcPr>
            <w:tcW w:w="2215" w:type="dxa"/>
            <w:vAlign w:val="center"/>
          </w:tcPr>
          <w:p w14:paraId="58D9B9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燃气表拆除</w:t>
            </w:r>
          </w:p>
        </w:tc>
        <w:tc>
          <w:tcPr>
            <w:tcW w:w="1481" w:type="dxa"/>
            <w:vAlign w:val="center"/>
          </w:tcPr>
          <w:p w14:paraId="32335E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1227" w:type="dxa"/>
            <w:vAlign w:val="center"/>
          </w:tcPr>
          <w:p w14:paraId="227DE16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622EDAB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9106D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95F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487D5367">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70</w:t>
            </w:r>
          </w:p>
        </w:tc>
        <w:tc>
          <w:tcPr>
            <w:tcW w:w="2215" w:type="dxa"/>
            <w:vAlign w:val="center"/>
          </w:tcPr>
          <w:p w14:paraId="0721FA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超声波表</w:t>
            </w:r>
          </w:p>
        </w:tc>
        <w:tc>
          <w:tcPr>
            <w:tcW w:w="1481" w:type="dxa"/>
            <w:vAlign w:val="center"/>
          </w:tcPr>
          <w:p w14:paraId="53482F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1227" w:type="dxa"/>
            <w:vAlign w:val="center"/>
          </w:tcPr>
          <w:p w14:paraId="4A373F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7C8BCB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A9DE7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6293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B9430D5">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71</w:t>
            </w:r>
          </w:p>
        </w:tc>
        <w:tc>
          <w:tcPr>
            <w:tcW w:w="2215" w:type="dxa"/>
            <w:vAlign w:val="center"/>
          </w:tcPr>
          <w:p w14:paraId="4196A63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金属缠绕垫</w:t>
            </w:r>
          </w:p>
        </w:tc>
        <w:tc>
          <w:tcPr>
            <w:tcW w:w="1481" w:type="dxa"/>
            <w:vAlign w:val="center"/>
          </w:tcPr>
          <w:p w14:paraId="497A59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7D1E45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1268" w:type="dxa"/>
            <w:vAlign w:val="center"/>
          </w:tcPr>
          <w:p w14:paraId="0AF7FF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10CED4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08A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AE3835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72</w:t>
            </w:r>
          </w:p>
        </w:tc>
        <w:tc>
          <w:tcPr>
            <w:tcW w:w="2215" w:type="dxa"/>
            <w:vAlign w:val="center"/>
          </w:tcPr>
          <w:p w14:paraId="27733E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金属缠绕垫</w:t>
            </w:r>
          </w:p>
        </w:tc>
        <w:tc>
          <w:tcPr>
            <w:tcW w:w="1481" w:type="dxa"/>
            <w:vAlign w:val="center"/>
          </w:tcPr>
          <w:p w14:paraId="7ED2BC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3DBE15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 </w:t>
            </w:r>
          </w:p>
        </w:tc>
        <w:tc>
          <w:tcPr>
            <w:tcW w:w="1268" w:type="dxa"/>
            <w:vAlign w:val="center"/>
          </w:tcPr>
          <w:p w14:paraId="62B7E5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1763B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E0A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6806508">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73</w:t>
            </w:r>
          </w:p>
        </w:tc>
        <w:tc>
          <w:tcPr>
            <w:tcW w:w="2215" w:type="dxa"/>
            <w:vAlign w:val="center"/>
          </w:tcPr>
          <w:p w14:paraId="1DA829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精制带母镀锌螺栓</w:t>
            </w:r>
          </w:p>
        </w:tc>
        <w:tc>
          <w:tcPr>
            <w:tcW w:w="1481" w:type="dxa"/>
            <w:vAlign w:val="center"/>
          </w:tcPr>
          <w:p w14:paraId="40829F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3AC0D5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28 </w:t>
            </w:r>
          </w:p>
        </w:tc>
        <w:tc>
          <w:tcPr>
            <w:tcW w:w="1268" w:type="dxa"/>
            <w:vAlign w:val="center"/>
          </w:tcPr>
          <w:p w14:paraId="2238F7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765092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0F1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47D3F0B">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74</w:t>
            </w:r>
          </w:p>
        </w:tc>
        <w:tc>
          <w:tcPr>
            <w:tcW w:w="2215" w:type="dxa"/>
            <w:vAlign w:val="center"/>
          </w:tcPr>
          <w:p w14:paraId="1FA0AA1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铜跨接</w:t>
            </w:r>
          </w:p>
        </w:tc>
        <w:tc>
          <w:tcPr>
            <w:tcW w:w="1481" w:type="dxa"/>
            <w:vAlign w:val="center"/>
          </w:tcPr>
          <w:p w14:paraId="391C96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处</w:t>
            </w:r>
          </w:p>
        </w:tc>
        <w:tc>
          <w:tcPr>
            <w:tcW w:w="1227" w:type="dxa"/>
            <w:vAlign w:val="center"/>
          </w:tcPr>
          <w:p w14:paraId="1F550B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7 </w:t>
            </w:r>
          </w:p>
        </w:tc>
        <w:tc>
          <w:tcPr>
            <w:tcW w:w="1268" w:type="dxa"/>
            <w:vAlign w:val="center"/>
          </w:tcPr>
          <w:p w14:paraId="6A9FFA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89B58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D4D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7471067">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75</w:t>
            </w:r>
          </w:p>
        </w:tc>
        <w:tc>
          <w:tcPr>
            <w:tcW w:w="2215" w:type="dxa"/>
            <w:vAlign w:val="center"/>
          </w:tcPr>
          <w:p w14:paraId="1C5E15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避雷网</w:t>
            </w:r>
          </w:p>
        </w:tc>
        <w:tc>
          <w:tcPr>
            <w:tcW w:w="1481" w:type="dxa"/>
            <w:vAlign w:val="center"/>
          </w:tcPr>
          <w:p w14:paraId="739C7F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76ACF1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 </w:t>
            </w:r>
          </w:p>
        </w:tc>
        <w:tc>
          <w:tcPr>
            <w:tcW w:w="1268" w:type="dxa"/>
            <w:vAlign w:val="center"/>
          </w:tcPr>
          <w:p w14:paraId="475D5E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08AD6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6191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2BA9149">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76</w:t>
            </w:r>
          </w:p>
        </w:tc>
        <w:tc>
          <w:tcPr>
            <w:tcW w:w="2215" w:type="dxa"/>
            <w:vAlign w:val="center"/>
          </w:tcPr>
          <w:p w14:paraId="0D974C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报警电缆</w:t>
            </w:r>
          </w:p>
        </w:tc>
        <w:tc>
          <w:tcPr>
            <w:tcW w:w="1481" w:type="dxa"/>
            <w:vAlign w:val="center"/>
          </w:tcPr>
          <w:p w14:paraId="0ED24A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444BCE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5 </w:t>
            </w:r>
          </w:p>
        </w:tc>
        <w:tc>
          <w:tcPr>
            <w:tcW w:w="1268" w:type="dxa"/>
            <w:vAlign w:val="center"/>
          </w:tcPr>
          <w:p w14:paraId="55F0D70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69D428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A59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06C5CA8">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77</w:t>
            </w:r>
          </w:p>
        </w:tc>
        <w:tc>
          <w:tcPr>
            <w:tcW w:w="2215" w:type="dxa"/>
            <w:vAlign w:val="center"/>
          </w:tcPr>
          <w:p w14:paraId="39705C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报警电缆</w:t>
            </w:r>
          </w:p>
        </w:tc>
        <w:tc>
          <w:tcPr>
            <w:tcW w:w="1481" w:type="dxa"/>
            <w:vAlign w:val="center"/>
          </w:tcPr>
          <w:p w14:paraId="3C9F38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5BC1F6A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150 </w:t>
            </w:r>
          </w:p>
        </w:tc>
        <w:tc>
          <w:tcPr>
            <w:tcW w:w="1268" w:type="dxa"/>
            <w:vAlign w:val="center"/>
          </w:tcPr>
          <w:p w14:paraId="3FD26C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0C8390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3EA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51746630">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78</w:t>
            </w:r>
          </w:p>
        </w:tc>
        <w:tc>
          <w:tcPr>
            <w:tcW w:w="2215" w:type="dxa"/>
            <w:vAlign w:val="center"/>
          </w:tcPr>
          <w:p w14:paraId="3F81F0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报警电缆</w:t>
            </w:r>
          </w:p>
        </w:tc>
        <w:tc>
          <w:tcPr>
            <w:tcW w:w="1481" w:type="dxa"/>
            <w:vAlign w:val="center"/>
          </w:tcPr>
          <w:p w14:paraId="45E03E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3CFBC4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95 </w:t>
            </w:r>
          </w:p>
        </w:tc>
        <w:tc>
          <w:tcPr>
            <w:tcW w:w="1268" w:type="dxa"/>
            <w:vAlign w:val="center"/>
          </w:tcPr>
          <w:p w14:paraId="1EB179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5CEDB9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6946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E31DF37">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79</w:t>
            </w:r>
          </w:p>
        </w:tc>
        <w:tc>
          <w:tcPr>
            <w:tcW w:w="2215" w:type="dxa"/>
            <w:vAlign w:val="center"/>
          </w:tcPr>
          <w:p w14:paraId="216F0E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配管</w:t>
            </w:r>
          </w:p>
        </w:tc>
        <w:tc>
          <w:tcPr>
            <w:tcW w:w="1481" w:type="dxa"/>
            <w:vAlign w:val="center"/>
          </w:tcPr>
          <w:p w14:paraId="7859FB6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743B4E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96.5 </w:t>
            </w:r>
          </w:p>
        </w:tc>
        <w:tc>
          <w:tcPr>
            <w:tcW w:w="1268" w:type="dxa"/>
            <w:vAlign w:val="center"/>
          </w:tcPr>
          <w:p w14:paraId="292594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ACC02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C48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26DDCF7">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80</w:t>
            </w:r>
          </w:p>
        </w:tc>
        <w:tc>
          <w:tcPr>
            <w:tcW w:w="2215" w:type="dxa"/>
            <w:vAlign w:val="center"/>
          </w:tcPr>
          <w:p w14:paraId="52E9B19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配管</w:t>
            </w:r>
          </w:p>
        </w:tc>
        <w:tc>
          <w:tcPr>
            <w:tcW w:w="1481" w:type="dxa"/>
            <w:vAlign w:val="center"/>
          </w:tcPr>
          <w:p w14:paraId="5905C8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31B911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0.5 </w:t>
            </w:r>
          </w:p>
        </w:tc>
        <w:tc>
          <w:tcPr>
            <w:tcW w:w="1268" w:type="dxa"/>
            <w:vAlign w:val="center"/>
          </w:tcPr>
          <w:p w14:paraId="26A408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FEE1C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E58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39AEA64">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81</w:t>
            </w:r>
          </w:p>
        </w:tc>
        <w:tc>
          <w:tcPr>
            <w:tcW w:w="2215" w:type="dxa"/>
            <w:vAlign w:val="center"/>
          </w:tcPr>
          <w:p w14:paraId="395117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金属软管</w:t>
            </w:r>
          </w:p>
        </w:tc>
        <w:tc>
          <w:tcPr>
            <w:tcW w:w="1481" w:type="dxa"/>
            <w:vAlign w:val="center"/>
          </w:tcPr>
          <w:p w14:paraId="016521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227" w:type="dxa"/>
            <w:vAlign w:val="center"/>
          </w:tcPr>
          <w:p w14:paraId="3A8BBE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c>
          <w:tcPr>
            <w:tcW w:w="1268" w:type="dxa"/>
            <w:vAlign w:val="center"/>
          </w:tcPr>
          <w:p w14:paraId="769FDF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BC7EB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69B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6B02C3B">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82</w:t>
            </w:r>
          </w:p>
        </w:tc>
        <w:tc>
          <w:tcPr>
            <w:tcW w:w="2215" w:type="dxa"/>
            <w:vAlign w:val="center"/>
          </w:tcPr>
          <w:p w14:paraId="3ABB458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接线盒</w:t>
            </w:r>
          </w:p>
        </w:tc>
        <w:tc>
          <w:tcPr>
            <w:tcW w:w="1481" w:type="dxa"/>
            <w:vAlign w:val="center"/>
          </w:tcPr>
          <w:p w14:paraId="39338C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3E04A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c>
          <w:tcPr>
            <w:tcW w:w="1268" w:type="dxa"/>
            <w:vAlign w:val="center"/>
          </w:tcPr>
          <w:p w14:paraId="6B9628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B96970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1A7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7FC9839">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83</w:t>
            </w:r>
          </w:p>
        </w:tc>
        <w:tc>
          <w:tcPr>
            <w:tcW w:w="2215" w:type="dxa"/>
            <w:vAlign w:val="center"/>
          </w:tcPr>
          <w:p w14:paraId="122C9ED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接线盒</w:t>
            </w:r>
          </w:p>
        </w:tc>
        <w:tc>
          <w:tcPr>
            <w:tcW w:w="1481" w:type="dxa"/>
            <w:vAlign w:val="center"/>
          </w:tcPr>
          <w:p w14:paraId="512A5D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6F0F66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 </w:t>
            </w:r>
          </w:p>
        </w:tc>
        <w:tc>
          <w:tcPr>
            <w:tcW w:w="1268" w:type="dxa"/>
            <w:vAlign w:val="center"/>
          </w:tcPr>
          <w:p w14:paraId="49B19D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5335E5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34F7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4852225">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84</w:t>
            </w:r>
          </w:p>
        </w:tc>
        <w:tc>
          <w:tcPr>
            <w:tcW w:w="2215" w:type="dxa"/>
            <w:vAlign w:val="center"/>
          </w:tcPr>
          <w:p w14:paraId="06C47A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点型探测器</w:t>
            </w:r>
          </w:p>
        </w:tc>
        <w:tc>
          <w:tcPr>
            <w:tcW w:w="1481" w:type="dxa"/>
            <w:vAlign w:val="center"/>
          </w:tcPr>
          <w:p w14:paraId="2D3855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3EC356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4 </w:t>
            </w:r>
          </w:p>
        </w:tc>
        <w:tc>
          <w:tcPr>
            <w:tcW w:w="1268" w:type="dxa"/>
            <w:vAlign w:val="center"/>
          </w:tcPr>
          <w:p w14:paraId="74BE6C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710DF9E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4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48078B4">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85</w:t>
            </w:r>
          </w:p>
        </w:tc>
        <w:tc>
          <w:tcPr>
            <w:tcW w:w="2215" w:type="dxa"/>
            <w:vAlign w:val="center"/>
          </w:tcPr>
          <w:p w14:paraId="09B5C96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气体报警控制器</w:t>
            </w:r>
          </w:p>
        </w:tc>
        <w:tc>
          <w:tcPr>
            <w:tcW w:w="1481" w:type="dxa"/>
            <w:vAlign w:val="center"/>
          </w:tcPr>
          <w:p w14:paraId="62F411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CB0DA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01C24A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0F3EB6F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E9D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62D8ED5A">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86</w:t>
            </w:r>
          </w:p>
        </w:tc>
        <w:tc>
          <w:tcPr>
            <w:tcW w:w="2215" w:type="dxa"/>
            <w:vAlign w:val="center"/>
          </w:tcPr>
          <w:p w14:paraId="297DB8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现场手动触发报警装置</w:t>
            </w:r>
          </w:p>
        </w:tc>
        <w:tc>
          <w:tcPr>
            <w:tcW w:w="1481" w:type="dxa"/>
            <w:vAlign w:val="center"/>
          </w:tcPr>
          <w:p w14:paraId="2F1E74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3948AF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7562D3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9E8891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3E4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4D5EC0B">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87</w:t>
            </w:r>
          </w:p>
        </w:tc>
        <w:tc>
          <w:tcPr>
            <w:tcW w:w="2215" w:type="dxa"/>
            <w:vAlign w:val="center"/>
          </w:tcPr>
          <w:p w14:paraId="607F48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声光报警器</w:t>
            </w:r>
          </w:p>
        </w:tc>
        <w:tc>
          <w:tcPr>
            <w:tcW w:w="1481" w:type="dxa"/>
            <w:vAlign w:val="center"/>
          </w:tcPr>
          <w:p w14:paraId="433BE7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475692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58BC62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5E7D27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061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C8A2E08">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88</w:t>
            </w:r>
          </w:p>
        </w:tc>
        <w:tc>
          <w:tcPr>
            <w:tcW w:w="2215" w:type="dxa"/>
            <w:vAlign w:val="center"/>
          </w:tcPr>
          <w:p w14:paraId="75237C2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联动模块</w:t>
            </w:r>
          </w:p>
        </w:tc>
        <w:tc>
          <w:tcPr>
            <w:tcW w:w="1481" w:type="dxa"/>
            <w:vAlign w:val="center"/>
          </w:tcPr>
          <w:p w14:paraId="5E1CFEE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09C712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 </w:t>
            </w:r>
          </w:p>
        </w:tc>
        <w:tc>
          <w:tcPr>
            <w:tcW w:w="1268" w:type="dxa"/>
            <w:vAlign w:val="center"/>
          </w:tcPr>
          <w:p w14:paraId="4008D8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2A3410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374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149D2904">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89</w:t>
            </w:r>
          </w:p>
        </w:tc>
        <w:tc>
          <w:tcPr>
            <w:tcW w:w="2215" w:type="dxa"/>
            <w:vAlign w:val="center"/>
          </w:tcPr>
          <w:p w14:paraId="0EF59D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远传模块</w:t>
            </w:r>
          </w:p>
        </w:tc>
        <w:tc>
          <w:tcPr>
            <w:tcW w:w="1481" w:type="dxa"/>
            <w:vAlign w:val="center"/>
          </w:tcPr>
          <w:p w14:paraId="608F42A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227" w:type="dxa"/>
            <w:vAlign w:val="center"/>
          </w:tcPr>
          <w:p w14:paraId="34FCE6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576877B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46FDC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2BF8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755CEA0D">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90</w:t>
            </w:r>
          </w:p>
        </w:tc>
        <w:tc>
          <w:tcPr>
            <w:tcW w:w="2215" w:type="dxa"/>
            <w:vAlign w:val="center"/>
          </w:tcPr>
          <w:p w14:paraId="53971E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自动报警系统调试</w:t>
            </w:r>
          </w:p>
        </w:tc>
        <w:tc>
          <w:tcPr>
            <w:tcW w:w="1481" w:type="dxa"/>
            <w:vAlign w:val="center"/>
          </w:tcPr>
          <w:p w14:paraId="737020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w:t>
            </w:r>
          </w:p>
        </w:tc>
        <w:tc>
          <w:tcPr>
            <w:tcW w:w="1227" w:type="dxa"/>
            <w:vAlign w:val="center"/>
          </w:tcPr>
          <w:p w14:paraId="4B3B0F3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268" w:type="dxa"/>
            <w:vAlign w:val="center"/>
          </w:tcPr>
          <w:p w14:paraId="6A6B16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027961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7933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22188C10">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91</w:t>
            </w:r>
          </w:p>
        </w:tc>
        <w:tc>
          <w:tcPr>
            <w:tcW w:w="2215" w:type="dxa"/>
            <w:vAlign w:val="center"/>
          </w:tcPr>
          <w:p w14:paraId="78939A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移动式脚手架</w:t>
            </w:r>
          </w:p>
        </w:tc>
        <w:tc>
          <w:tcPr>
            <w:tcW w:w="1481" w:type="dxa"/>
            <w:vAlign w:val="center"/>
          </w:tcPr>
          <w:p w14:paraId="415111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付</w:t>
            </w:r>
          </w:p>
        </w:tc>
        <w:tc>
          <w:tcPr>
            <w:tcW w:w="1227" w:type="dxa"/>
            <w:vAlign w:val="center"/>
          </w:tcPr>
          <w:p w14:paraId="532B7A6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 </w:t>
            </w:r>
          </w:p>
        </w:tc>
        <w:tc>
          <w:tcPr>
            <w:tcW w:w="1268" w:type="dxa"/>
            <w:vAlign w:val="center"/>
          </w:tcPr>
          <w:p w14:paraId="046D491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4C2449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508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vAlign w:val="center"/>
          </w:tcPr>
          <w:p w14:paraId="38CE1808">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92</w:t>
            </w:r>
          </w:p>
        </w:tc>
        <w:tc>
          <w:tcPr>
            <w:tcW w:w="2215" w:type="dxa"/>
            <w:vAlign w:val="center"/>
          </w:tcPr>
          <w:p w14:paraId="2F7079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登高车</w:t>
            </w:r>
          </w:p>
        </w:tc>
        <w:tc>
          <w:tcPr>
            <w:tcW w:w="1481" w:type="dxa"/>
            <w:vAlign w:val="center"/>
          </w:tcPr>
          <w:p w14:paraId="2FC576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台班</w:t>
            </w:r>
          </w:p>
        </w:tc>
        <w:tc>
          <w:tcPr>
            <w:tcW w:w="1227" w:type="dxa"/>
            <w:vAlign w:val="center"/>
          </w:tcPr>
          <w:p w14:paraId="4C110D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 </w:t>
            </w:r>
          </w:p>
        </w:tc>
        <w:tc>
          <w:tcPr>
            <w:tcW w:w="1268" w:type="dxa"/>
            <w:vAlign w:val="center"/>
          </w:tcPr>
          <w:p w14:paraId="0C896E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45" w:type="dxa"/>
            <w:vAlign w:val="center"/>
          </w:tcPr>
          <w:p w14:paraId="3B5C0A5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14:paraId="6CB85767">
        <w:tblPrEx>
          <w:tblCellMar>
            <w:top w:w="0" w:type="dxa"/>
            <w:left w:w="108" w:type="dxa"/>
            <w:bottom w:w="0" w:type="dxa"/>
            <w:right w:w="108" w:type="dxa"/>
          </w:tblCellMar>
        </w:tblPrEx>
        <w:trPr>
          <w:trHeight w:val="477" w:hRule="atLeast"/>
        </w:trPr>
        <w:tc>
          <w:tcPr>
            <w:tcW w:w="6728" w:type="dxa"/>
            <w:gridSpan w:val="5"/>
            <w:vAlign w:val="center"/>
          </w:tcPr>
          <w:p w14:paraId="204F303A">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报价合计（元）</w:t>
            </w:r>
          </w:p>
        </w:tc>
        <w:tc>
          <w:tcPr>
            <w:tcW w:w="1445" w:type="dxa"/>
            <w:vAlign w:val="center"/>
          </w:tcPr>
          <w:p w14:paraId="0679EF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bl>
    <w:p w14:paraId="45253C33">
      <w:pPr>
        <w:pStyle w:val="73"/>
        <w:rPr>
          <w:rFonts w:ascii="仿宋" w:hAnsi="仿宋" w:eastAsia="仿宋"/>
          <w:b/>
          <w:sz w:val="32"/>
          <w:szCs w:val="32"/>
          <w:highlight w:val="none"/>
          <w:lang w:bidi="ar"/>
        </w:rPr>
      </w:pPr>
    </w:p>
    <w:p w14:paraId="6AC97244">
      <w:pPr>
        <w:pStyle w:val="121"/>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p>
    <w:p w14:paraId="0E576451">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供应商名称（盖章）：</w:t>
      </w:r>
    </w:p>
    <w:p w14:paraId="510B8AE5">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法定代表人或授权委托人（签字或盖章）：</w:t>
      </w:r>
    </w:p>
    <w:p w14:paraId="7934A840">
      <w:pPr>
        <w:snapToGrid w:val="0"/>
        <w:spacing w:line="360" w:lineRule="auto"/>
        <w:ind w:firstLine="560" w:firstLineChars="200"/>
        <w:jc w:val="right"/>
        <w:rPr>
          <w:rFonts w:ascii="仿宋" w:hAnsi="仿宋" w:eastAsia="仿宋"/>
          <w:sz w:val="32"/>
          <w:szCs w:val="32"/>
          <w:highlight w:val="none"/>
        </w:rPr>
      </w:pPr>
      <w:r>
        <w:rPr>
          <w:rFonts w:hint="eastAsia" w:ascii="仿宋" w:hAnsi="仿宋" w:eastAsia="仿宋"/>
          <w:sz w:val="28"/>
          <w:szCs w:val="28"/>
          <w:highlight w:val="none"/>
          <w:lang w:bidi="ar"/>
        </w:rPr>
        <w:t>日期：</w:t>
      </w:r>
    </w:p>
    <w:p w14:paraId="3C0F3088">
      <w:pPr>
        <w:spacing w:before="240" w:line="360" w:lineRule="auto"/>
        <w:jc w:val="center"/>
        <w:rPr>
          <w:rFonts w:hint="eastAsia" w:ascii="仿宋" w:hAnsi="仿宋" w:eastAsia="仿宋"/>
          <w:b/>
          <w:sz w:val="32"/>
          <w:szCs w:val="32"/>
          <w:highlight w:val="none"/>
          <w:lang w:bidi="ar"/>
        </w:rPr>
      </w:pPr>
    </w:p>
    <w:p w14:paraId="53877305">
      <w:pPr>
        <w:spacing w:before="240" w:line="360" w:lineRule="auto"/>
        <w:jc w:val="center"/>
        <w:rPr>
          <w:rFonts w:hint="eastAsia" w:ascii="仿宋" w:hAnsi="仿宋" w:eastAsia="仿宋"/>
          <w:b/>
          <w:sz w:val="32"/>
          <w:szCs w:val="32"/>
          <w:highlight w:val="none"/>
          <w:lang w:bidi="ar"/>
        </w:rPr>
      </w:pPr>
    </w:p>
    <w:p w14:paraId="2B52D6D9">
      <w:pPr>
        <w:spacing w:before="240" w:line="360" w:lineRule="auto"/>
        <w:jc w:val="center"/>
        <w:rPr>
          <w:rFonts w:hint="eastAsia" w:ascii="仿宋" w:hAnsi="仿宋" w:eastAsia="仿宋"/>
          <w:b/>
          <w:sz w:val="32"/>
          <w:szCs w:val="32"/>
          <w:highlight w:val="none"/>
          <w:lang w:bidi="ar"/>
        </w:rPr>
      </w:pPr>
    </w:p>
    <w:p w14:paraId="262AEB34">
      <w:pPr>
        <w:spacing w:before="240" w:line="360" w:lineRule="auto"/>
        <w:jc w:val="center"/>
        <w:rPr>
          <w:rFonts w:hint="eastAsia" w:ascii="仿宋" w:hAnsi="仿宋" w:eastAsia="仿宋"/>
          <w:b/>
          <w:sz w:val="32"/>
          <w:szCs w:val="32"/>
          <w:highlight w:val="none"/>
          <w:lang w:bidi="ar"/>
        </w:rPr>
      </w:pPr>
    </w:p>
    <w:p w14:paraId="24916D6E">
      <w:pPr>
        <w:spacing w:before="240" w:line="360" w:lineRule="auto"/>
        <w:jc w:val="center"/>
        <w:rPr>
          <w:rFonts w:hint="eastAsia" w:ascii="仿宋" w:hAnsi="仿宋" w:eastAsia="仿宋"/>
          <w:b/>
          <w:sz w:val="32"/>
          <w:szCs w:val="32"/>
          <w:highlight w:val="none"/>
          <w:lang w:bidi="ar"/>
        </w:rPr>
      </w:pPr>
    </w:p>
    <w:p w14:paraId="2FB60703">
      <w:pPr>
        <w:spacing w:before="240" w:line="360" w:lineRule="auto"/>
        <w:jc w:val="center"/>
        <w:rPr>
          <w:rFonts w:hint="eastAsia" w:ascii="仿宋" w:hAnsi="仿宋" w:eastAsia="仿宋"/>
          <w:b/>
          <w:sz w:val="32"/>
          <w:szCs w:val="32"/>
          <w:highlight w:val="none"/>
          <w:lang w:bidi="ar"/>
        </w:rPr>
      </w:pPr>
    </w:p>
    <w:p w14:paraId="5903960B">
      <w:pPr>
        <w:rPr>
          <w:rFonts w:hint="eastAsia" w:ascii="仿宋" w:hAnsi="仿宋" w:eastAsia="仿宋"/>
          <w:b/>
          <w:sz w:val="32"/>
          <w:szCs w:val="32"/>
          <w:highlight w:val="none"/>
          <w:lang w:bidi="ar"/>
        </w:rPr>
      </w:pPr>
      <w:r>
        <w:rPr>
          <w:rFonts w:hint="eastAsia" w:ascii="仿宋" w:hAnsi="仿宋" w:eastAsia="仿宋"/>
          <w:b/>
          <w:sz w:val="32"/>
          <w:szCs w:val="32"/>
          <w:highlight w:val="none"/>
          <w:lang w:bidi="ar"/>
        </w:rPr>
        <w:br w:type="page"/>
      </w:r>
    </w:p>
    <w:p w14:paraId="64C6EF56">
      <w:pPr>
        <w:spacing w:before="240" w:line="360" w:lineRule="auto"/>
        <w:jc w:val="center"/>
        <w:rPr>
          <w:rFonts w:ascii="仿宋" w:hAnsi="仿宋" w:eastAsia="仿宋"/>
          <w:b/>
          <w:sz w:val="32"/>
          <w:szCs w:val="32"/>
          <w:highlight w:val="none"/>
          <w:lang w:bidi="ar"/>
        </w:rPr>
      </w:pPr>
      <w:r>
        <w:rPr>
          <w:rFonts w:hint="eastAsia" w:ascii="仿宋" w:hAnsi="仿宋" w:eastAsia="仿宋"/>
          <w:b/>
          <w:sz w:val="32"/>
          <w:szCs w:val="32"/>
          <w:highlight w:val="none"/>
          <w:lang w:val="en-US" w:eastAsia="zh-CN" w:bidi="ar"/>
        </w:rPr>
        <w:t>3.</w:t>
      </w:r>
      <w:r>
        <w:rPr>
          <w:rFonts w:hint="eastAsia" w:ascii="仿宋" w:hAnsi="仿宋" w:eastAsia="仿宋"/>
          <w:b/>
          <w:sz w:val="32"/>
          <w:szCs w:val="32"/>
          <w:highlight w:val="none"/>
          <w:lang w:bidi="ar"/>
        </w:rPr>
        <w:t>供应商信用承诺书</w:t>
      </w:r>
    </w:p>
    <w:p w14:paraId="6C5D85BD">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为营造公开、公平、公正的公共资源交易环境，树立诚信守法的投标人形象，本人代表本单位作出以下承诺：</w:t>
      </w:r>
    </w:p>
    <w:p w14:paraId="656974A7">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27C698A6">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二、严格依照国家和省、市、县关于政府采购等方面的法律、法规、规章、规范性文件，参加公共资源交易招标投标活动；积极履行社会责任，促进廉政建设；</w:t>
      </w:r>
    </w:p>
    <w:p w14:paraId="334173F3">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三、严格遵守即时信息公示规定，及时更新公共资源交易中心主体信息库中信息；</w:t>
      </w:r>
    </w:p>
    <w:p w14:paraId="7C334D79">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393525B9">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CDDAA2A">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六、自觉接受政府部门、行业组织、社会公众、新闻舆论等监督；</w:t>
      </w:r>
    </w:p>
    <w:p w14:paraId="1CC99C71">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七、上述承诺已向本单位员工作了宣传教育；</w:t>
      </w:r>
    </w:p>
    <w:p w14:paraId="4E2DCBDA">
      <w:pPr>
        <w:tabs>
          <w:tab w:val="left" w:pos="4860"/>
        </w:tabs>
        <w:spacing w:line="360" w:lineRule="auto"/>
        <w:ind w:right="1560"/>
        <w:jc w:val="left"/>
        <w:rPr>
          <w:rFonts w:ascii="仿宋" w:hAnsi="仿宋" w:eastAsia="仿宋"/>
          <w:b/>
          <w:kern w:val="0"/>
          <w:sz w:val="24"/>
          <w:highlight w:val="none"/>
          <w:lang w:val="zh-CN" w:bidi="ar"/>
        </w:rPr>
      </w:pPr>
      <w:r>
        <w:rPr>
          <w:rFonts w:hint="eastAsia" w:ascii="仿宋" w:hAnsi="仿宋" w:eastAsia="仿宋"/>
          <w:b/>
          <w:kern w:val="0"/>
          <w:sz w:val="24"/>
          <w:highlight w:val="none"/>
          <w:lang w:val="zh-CN" w:bidi="ar"/>
        </w:rPr>
        <w:t>如有违反上述承诺的不良行为，本单位同意将其予以上网公示。</w:t>
      </w:r>
    </w:p>
    <w:p w14:paraId="53A08FFD">
      <w:pPr>
        <w:spacing w:line="360" w:lineRule="auto"/>
        <w:ind w:firstLine="3080" w:firstLineChars="1100"/>
        <w:rPr>
          <w:rFonts w:ascii="仿宋" w:hAnsi="仿宋" w:eastAsia="仿宋"/>
          <w:sz w:val="28"/>
          <w:szCs w:val="28"/>
          <w:highlight w:val="none"/>
        </w:rPr>
      </w:pPr>
      <w:r>
        <w:rPr>
          <w:rFonts w:hint="eastAsia" w:ascii="仿宋" w:hAnsi="仿宋" w:eastAsia="仿宋"/>
          <w:sz w:val="28"/>
          <w:szCs w:val="28"/>
          <w:highlight w:val="none"/>
        </w:rPr>
        <w:t xml:space="preserve">  </w:t>
      </w:r>
    </w:p>
    <w:p w14:paraId="25DA2005">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投标供应商全称(盖公章)：</w:t>
      </w:r>
    </w:p>
    <w:p w14:paraId="11484484">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法定代表人（签字或盖章）：</w:t>
      </w:r>
    </w:p>
    <w:p w14:paraId="7C6C1F0E">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时间：  年  月   日</w:t>
      </w:r>
    </w:p>
    <w:p w14:paraId="4A3E24FF">
      <w:pPr>
        <w:spacing w:line="360" w:lineRule="auto"/>
        <w:rPr>
          <w:rFonts w:ascii="仿宋" w:hAnsi="仿宋" w:eastAsia="仿宋"/>
          <w:highlight w:val="none"/>
        </w:rPr>
      </w:pPr>
    </w:p>
    <w:p w14:paraId="77FC97AC">
      <w:pPr>
        <w:spacing w:line="360" w:lineRule="auto"/>
        <w:rPr>
          <w:rFonts w:ascii="仿宋" w:hAnsi="仿宋" w:eastAsia="仿宋"/>
          <w:highlight w:val="none"/>
        </w:rPr>
      </w:pPr>
    </w:p>
    <w:p w14:paraId="41749FC0">
      <w:pPr>
        <w:spacing w:line="360" w:lineRule="auto"/>
        <w:jc w:val="center"/>
        <w:rPr>
          <w:rFonts w:hint="eastAsia" w:ascii="仿宋" w:hAnsi="仿宋" w:eastAsia="仿宋"/>
          <w:bCs/>
          <w:sz w:val="40"/>
          <w:szCs w:val="40"/>
          <w:highlight w:val="none"/>
        </w:rPr>
      </w:pPr>
    </w:p>
    <w:p w14:paraId="364D35E1">
      <w:pPr>
        <w:spacing w:line="360" w:lineRule="auto"/>
        <w:jc w:val="center"/>
        <w:rPr>
          <w:rFonts w:ascii="仿宋" w:hAnsi="仿宋" w:eastAsia="仿宋"/>
          <w:bCs/>
          <w:sz w:val="40"/>
          <w:szCs w:val="40"/>
          <w:highlight w:val="none"/>
        </w:rPr>
      </w:pPr>
      <w:r>
        <w:rPr>
          <w:rFonts w:hint="eastAsia" w:ascii="仿宋" w:hAnsi="仿宋" w:eastAsia="仿宋"/>
          <w:bCs/>
          <w:sz w:val="40"/>
          <w:szCs w:val="40"/>
          <w:highlight w:val="none"/>
        </w:rPr>
        <w:t>质疑函范本</w:t>
      </w:r>
    </w:p>
    <w:p w14:paraId="5E29A83C">
      <w:pPr>
        <w:snapToGrid w:val="0"/>
        <w:spacing w:before="240" w:line="360" w:lineRule="auto"/>
        <w:rPr>
          <w:rFonts w:ascii="仿宋" w:hAnsi="仿宋" w:eastAsia="仿宋"/>
          <w:bCs/>
          <w:sz w:val="28"/>
          <w:szCs w:val="28"/>
          <w:highlight w:val="none"/>
        </w:rPr>
      </w:pPr>
      <w:r>
        <w:rPr>
          <w:rFonts w:hint="eastAsia" w:ascii="仿宋" w:hAnsi="仿宋" w:eastAsia="仿宋"/>
          <w:bCs/>
          <w:sz w:val="28"/>
          <w:szCs w:val="28"/>
          <w:highlight w:val="none"/>
        </w:rPr>
        <w:t>一、质疑供应商基本信息</w:t>
      </w:r>
    </w:p>
    <w:p w14:paraId="7D9C333B">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质疑供应商：</w:t>
      </w:r>
    </w:p>
    <w:p w14:paraId="0173A6F5">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地址：邮编：</w:t>
      </w:r>
    </w:p>
    <w:p w14:paraId="29E80824">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联系人：联系电话：</w:t>
      </w:r>
    </w:p>
    <w:p w14:paraId="76AF5EB8">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授权代表：</w:t>
      </w:r>
    </w:p>
    <w:p w14:paraId="27827391">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联系电话：</w:t>
      </w:r>
    </w:p>
    <w:p w14:paraId="26F823D4">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地址：邮编：</w:t>
      </w:r>
    </w:p>
    <w:p w14:paraId="65D85801">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二、质疑项目基本情况</w:t>
      </w:r>
    </w:p>
    <w:p w14:paraId="0259860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质疑项目的名称：</w:t>
      </w:r>
    </w:p>
    <w:p w14:paraId="1E1279FB">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质疑项目的编号：包号：</w:t>
      </w:r>
    </w:p>
    <w:p w14:paraId="652440D1">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采购人名称：</w:t>
      </w:r>
    </w:p>
    <w:p w14:paraId="41D50BE1">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采购文件获取日期：</w:t>
      </w:r>
    </w:p>
    <w:p w14:paraId="560A7AE0">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三、质疑事项具体内容</w:t>
      </w:r>
    </w:p>
    <w:p w14:paraId="4AB65FA0">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质疑事项1：</w:t>
      </w:r>
    </w:p>
    <w:p w14:paraId="7AEB8BAE">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事实依据：</w:t>
      </w:r>
    </w:p>
    <w:p w14:paraId="3162140A">
      <w:pPr>
        <w:snapToGrid w:val="0"/>
        <w:spacing w:line="360" w:lineRule="auto"/>
        <w:rPr>
          <w:rFonts w:ascii="仿宋" w:hAnsi="仿宋" w:eastAsia="仿宋"/>
          <w:sz w:val="28"/>
          <w:szCs w:val="28"/>
          <w:highlight w:val="none"/>
        </w:rPr>
      </w:pPr>
    </w:p>
    <w:p w14:paraId="153F3E35">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法律依据：</w:t>
      </w:r>
    </w:p>
    <w:p w14:paraId="08A988E3">
      <w:pPr>
        <w:snapToGrid w:val="0"/>
        <w:spacing w:line="360" w:lineRule="auto"/>
        <w:rPr>
          <w:rFonts w:ascii="仿宋" w:hAnsi="仿宋" w:eastAsia="仿宋"/>
          <w:sz w:val="28"/>
          <w:szCs w:val="28"/>
          <w:highlight w:val="none"/>
          <w:u w:val="dotted"/>
        </w:rPr>
      </w:pPr>
    </w:p>
    <w:p w14:paraId="6A6AFFD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质疑事项2</w:t>
      </w:r>
    </w:p>
    <w:p w14:paraId="775868C6">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w:t>
      </w:r>
    </w:p>
    <w:p w14:paraId="32E62AE6">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四、与质疑事项相关的质疑请求</w:t>
      </w:r>
    </w:p>
    <w:p w14:paraId="4A21553F">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请求：</w:t>
      </w:r>
    </w:p>
    <w:p w14:paraId="64E6EDA2">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签字(签章)：                   公章：                      </w:t>
      </w:r>
    </w:p>
    <w:p w14:paraId="7B42723C">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日期：    </w:t>
      </w:r>
    </w:p>
    <w:p w14:paraId="4A776C68">
      <w:pPr>
        <w:spacing w:line="360" w:lineRule="auto"/>
        <w:rPr>
          <w:rFonts w:ascii="仿宋" w:hAnsi="仿宋" w:eastAsia="仿宋"/>
          <w:b/>
          <w:sz w:val="28"/>
          <w:szCs w:val="28"/>
          <w:highlight w:val="none"/>
        </w:rPr>
      </w:pPr>
      <w:r>
        <w:rPr>
          <w:rFonts w:hint="eastAsia" w:ascii="仿宋" w:hAnsi="仿宋" w:eastAsia="仿宋"/>
          <w:b/>
          <w:sz w:val="28"/>
          <w:szCs w:val="28"/>
          <w:highlight w:val="none"/>
        </w:rPr>
        <w:t>质疑函制作说明：</w:t>
      </w:r>
    </w:p>
    <w:p w14:paraId="069B5E17">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1.供应商提出质疑时，应提交质疑函和必要的证明材料。</w:t>
      </w:r>
    </w:p>
    <w:p w14:paraId="42B61D0D">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2.质疑供应商若委托代理人进行质疑的，质疑函应按要求列明“授权代表”的有关内容，并在附件中提交由质疑</w:t>
      </w:r>
      <w:r>
        <w:rPr>
          <w:rFonts w:hint="eastAsia" w:ascii="仿宋" w:hAnsi="仿宋" w:eastAsia="仿宋"/>
          <w:kern w:val="0"/>
          <w:sz w:val="28"/>
          <w:szCs w:val="28"/>
          <w:highlight w:val="none"/>
        </w:rPr>
        <w:t>供应商签署的授权委托书。授权委托书应载明代理人的姓名或者名称、代理事项、具体权限、期限和相关事项。</w:t>
      </w:r>
    </w:p>
    <w:p w14:paraId="5F306581">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3.质疑供应商若对项目的某一分包进行质疑，质疑函中应列明具体分包号。</w:t>
      </w:r>
    </w:p>
    <w:p w14:paraId="26B9DA0B">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4.质疑函的质疑事项应具体、明确，并有必要的事实依据和法律依据。</w:t>
      </w:r>
    </w:p>
    <w:p w14:paraId="4E83EE31">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5.质疑函的质疑请求应与质疑事项相关。</w:t>
      </w:r>
    </w:p>
    <w:p w14:paraId="241194C6">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EU-F1">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FAF1">
    <w:pPr>
      <w:spacing w:line="116" w:lineRule="exact"/>
      <w:ind w:firstLine="4183"/>
      <w:rPr>
        <w:rFonts w:ascii="Calibri" w:hAnsi="Calibri" w:eastAsia="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78C3">
    <w:pPr>
      <w:pStyle w:val="45"/>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B63326D">
                          <w:pPr>
                            <w:pStyle w:val="45"/>
                            <w:tabs>
                              <w:tab w:val="clear" w:pos="4153"/>
                              <w:tab w:val="clear" w:pos="8306"/>
                            </w:tabs>
                          </w:pPr>
                          <w:r>
                            <w:fldChar w:fldCharType="begin"/>
                          </w:r>
                          <w:r>
                            <w:instrText xml:space="preserve"> PAGE  \* MERGEFORMAT </w:instrText>
                          </w:r>
                          <w:r>
                            <w:fldChar w:fldCharType="separate"/>
                          </w:r>
                          <w:r>
                            <w:t>31</w:t>
                          </w:r>
                          <w:r>
                            <w:fldChar w:fldCharType="end"/>
                          </w:r>
                        </w:p>
                        <w:p w14:paraId="68001699"/>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21HoroBAACGAwAADgAAAAAAAAABACAAAAAiAQAAZHJzL2Uyb0RvYy54bWxQSwUGAAAA&#10;AAYABgBZAQAATgUAAAAA&#10;">
              <v:fill on="f" focussize="0,0"/>
              <v:stroke on="f"/>
              <v:imagedata o:title=""/>
              <o:lock v:ext="edit" aspectratio="f"/>
              <v:textbox>
                <w:txbxContent>
                  <w:p w14:paraId="6B63326D">
                    <w:pPr>
                      <w:pStyle w:val="45"/>
                      <w:tabs>
                        <w:tab w:val="clear" w:pos="4153"/>
                        <w:tab w:val="clear" w:pos="8306"/>
                      </w:tabs>
                    </w:pPr>
                    <w:r>
                      <w:fldChar w:fldCharType="begin"/>
                    </w:r>
                    <w:r>
                      <w:instrText xml:space="preserve"> PAGE  \* MERGEFORMAT </w:instrText>
                    </w:r>
                    <w:r>
                      <w:fldChar w:fldCharType="separate"/>
                    </w:r>
                    <w:r>
                      <w:t>31</w:t>
                    </w:r>
                    <w:r>
                      <w:fldChar w:fldCharType="end"/>
                    </w:r>
                  </w:p>
                  <w:p w14:paraId="68001699"/>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CADE">
    <w:pPr>
      <w:pStyle w:val="47"/>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2124">
    <w:pPr>
      <w:pStyle w:val="47"/>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59726"/>
    <w:multiLevelType w:val="singleLevel"/>
    <w:tmpl w:val="E2C59726"/>
    <w:lvl w:ilvl="0" w:tentative="0">
      <w:start w:val="1"/>
      <w:numFmt w:val="decimal"/>
      <w:suff w:val="nothing"/>
      <w:lvlText w:val="%1、"/>
      <w:lvlJc w:val="left"/>
    </w:lvl>
  </w:abstractNum>
  <w:abstractNum w:abstractNumId="1">
    <w:nsid w:val="E682CC9F"/>
    <w:multiLevelType w:val="singleLevel"/>
    <w:tmpl w:val="E682CC9F"/>
    <w:lvl w:ilvl="0" w:tentative="0">
      <w:start w:val="1"/>
      <w:numFmt w:val="decimal"/>
      <w:suff w:val="nothing"/>
      <w:lvlText w:val="%1、"/>
      <w:lvlJc w:val="left"/>
    </w:lvl>
  </w:abstractNum>
  <w:abstractNum w:abstractNumId="2">
    <w:nsid w:val="084C7548"/>
    <w:multiLevelType w:val="multilevel"/>
    <w:tmpl w:val="084C7548"/>
    <w:lvl w:ilvl="0" w:tentative="0">
      <w:start w:val="1"/>
      <w:numFmt w:val="chineseCountingThousand"/>
      <w:pStyle w:val="130"/>
      <w:lvlText w:val="%1、"/>
      <w:lvlJc w:val="left"/>
      <w:pPr>
        <w:ind w:left="0" w:firstLine="0"/>
      </w:pPr>
      <w:rPr>
        <w:rFonts w:hint="eastAsia"/>
      </w:rPr>
    </w:lvl>
    <w:lvl w:ilvl="1" w:tentative="0">
      <w:start w:val="1"/>
      <w:numFmt w:val="chineseCountingThousand"/>
      <w:pStyle w:val="129"/>
      <w:lvlText w:val="(%2)"/>
      <w:lvlJc w:val="left"/>
      <w:pPr>
        <w:ind w:left="0" w:firstLine="0"/>
      </w:pPr>
    </w:lvl>
    <w:lvl w:ilvl="2" w:tentative="0">
      <w:start w:val="1"/>
      <w:numFmt w:val="decimal"/>
      <w:pStyle w:val="128"/>
      <w:lvlText w:val="%3."/>
      <w:lvlJc w:val="left"/>
      <w:pPr>
        <w:ind w:left="0" w:firstLine="0"/>
      </w:pPr>
      <w:rPr>
        <w:rFonts w:hint="eastAsia"/>
        <w:b w:val="0"/>
        <w:color w:val="auto"/>
      </w:rPr>
    </w:lvl>
    <w:lvl w:ilvl="3" w:tentative="0">
      <w:start w:val="1"/>
      <w:numFmt w:val="decimal"/>
      <w:lvlText w:val="(%4)"/>
      <w:lvlJc w:val="left"/>
      <w:pPr>
        <w:ind w:left="0" w:firstLine="0"/>
      </w:pPr>
      <w:rPr>
        <w:rFonts w:hint="default"/>
      </w:rPr>
    </w:lvl>
    <w:lvl w:ilvl="4" w:tentative="0">
      <w:start w:val="1"/>
      <w:numFmt w:val="decimal"/>
      <w:isLgl/>
      <w:lvlText w:val="%1.%2.%3.%4.%5"/>
      <w:lvlJc w:val="left"/>
      <w:pPr>
        <w:ind w:left="0" w:firstLine="0"/>
      </w:pPr>
    </w:lvl>
    <w:lvl w:ilvl="5" w:tentative="0">
      <w:start w:val="2"/>
      <w:numFmt w:val="upperLetter"/>
      <w:lvlText w:val="%6、"/>
      <w:lvlJc w:val="left"/>
      <w:pPr>
        <w:ind w:left="0" w:firstLine="0"/>
      </w:pPr>
    </w:lvl>
    <w:lvl w:ilvl="6" w:tentative="0">
      <w:start w:val="1"/>
      <w:numFmt w:val="upperLetter"/>
      <w:lvlText w:val="%7）"/>
      <w:lvlJc w:val="left"/>
      <w:pPr>
        <w:ind w:left="0" w:firstLine="0"/>
      </w:pPr>
    </w:lvl>
    <w:lvl w:ilvl="7" w:tentative="0">
      <w:start w:val="1"/>
      <w:numFmt w:val="decimal"/>
      <w:isLgl/>
      <w:lvlText w:val="%1.%2.%3.%4.%5.%6.%7.%8"/>
      <w:lvlJc w:val="left"/>
      <w:pPr>
        <w:ind w:left="0" w:firstLine="0"/>
      </w:pPr>
    </w:lvl>
    <w:lvl w:ilvl="8" w:tentative="0">
      <w:start w:val="1"/>
      <w:numFmt w:val="decimal"/>
      <w:isLgl/>
      <w:lvlText w:val="%1.%2.%3.%4.%5.%6.%7.%8.%9"/>
      <w:lvlJc w:val="left"/>
      <w:pPr>
        <w:ind w:left="0" w:firstLine="0"/>
      </w:pPr>
    </w:lvl>
  </w:abstractNum>
  <w:abstractNum w:abstractNumId="3">
    <w:nsid w:val="13DD4FAC"/>
    <w:multiLevelType w:val="singleLevel"/>
    <w:tmpl w:val="13DD4FAC"/>
    <w:lvl w:ilvl="0" w:tentative="0">
      <w:start w:val="2"/>
      <w:numFmt w:val="decimal"/>
      <w:suff w:val="nothing"/>
      <w:lvlText w:val="%1、"/>
      <w:lvlJc w:val="left"/>
    </w:lvl>
  </w:abstractNum>
  <w:abstractNum w:abstractNumId="4">
    <w:nsid w:val="50CD85B6"/>
    <w:multiLevelType w:val="singleLevel"/>
    <w:tmpl w:val="50CD85B6"/>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4901C8"/>
    <w:rsid w:val="0032534C"/>
    <w:rsid w:val="004901C8"/>
    <w:rsid w:val="0072440B"/>
    <w:rsid w:val="00C50342"/>
    <w:rsid w:val="0202245C"/>
    <w:rsid w:val="03332128"/>
    <w:rsid w:val="04FB5EE0"/>
    <w:rsid w:val="06BC7956"/>
    <w:rsid w:val="086C1887"/>
    <w:rsid w:val="09F03E40"/>
    <w:rsid w:val="0D8B6B27"/>
    <w:rsid w:val="0E7E40C2"/>
    <w:rsid w:val="0F696B20"/>
    <w:rsid w:val="136415FC"/>
    <w:rsid w:val="16907953"/>
    <w:rsid w:val="185C5BFE"/>
    <w:rsid w:val="1ACF2869"/>
    <w:rsid w:val="1BF574DA"/>
    <w:rsid w:val="1DB21FDA"/>
    <w:rsid w:val="1F134CFA"/>
    <w:rsid w:val="1F5844BB"/>
    <w:rsid w:val="22464852"/>
    <w:rsid w:val="22AA2816"/>
    <w:rsid w:val="23C9261C"/>
    <w:rsid w:val="259F15FA"/>
    <w:rsid w:val="268173FE"/>
    <w:rsid w:val="27A00FCD"/>
    <w:rsid w:val="284D302B"/>
    <w:rsid w:val="2CC2689C"/>
    <w:rsid w:val="2EB0694D"/>
    <w:rsid w:val="2EBC17CB"/>
    <w:rsid w:val="2F8719CD"/>
    <w:rsid w:val="2FFC44A6"/>
    <w:rsid w:val="31D96219"/>
    <w:rsid w:val="38C173B3"/>
    <w:rsid w:val="39243934"/>
    <w:rsid w:val="3A32424F"/>
    <w:rsid w:val="3FED4483"/>
    <w:rsid w:val="40BB518A"/>
    <w:rsid w:val="41175B2C"/>
    <w:rsid w:val="41F23F59"/>
    <w:rsid w:val="459322F9"/>
    <w:rsid w:val="47A71278"/>
    <w:rsid w:val="4A376852"/>
    <w:rsid w:val="519758C5"/>
    <w:rsid w:val="531C6FD2"/>
    <w:rsid w:val="56A30136"/>
    <w:rsid w:val="5EC7073A"/>
    <w:rsid w:val="64B23BC5"/>
    <w:rsid w:val="679B2764"/>
    <w:rsid w:val="6FE21CA4"/>
    <w:rsid w:val="734B3290"/>
    <w:rsid w:val="793D7F28"/>
    <w:rsid w:val="798232E8"/>
    <w:rsid w:val="7A5D10F4"/>
    <w:rsid w:val="7D0351A7"/>
    <w:rsid w:val="7D4740F3"/>
    <w:rsid w:val="7F3D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ascii="Times New Roman" w:hAnsi="Times New Roman" w:eastAsia="新宋体" w:cs="Times New Roman"/>
      <w:kern w:val="0"/>
      <w:sz w:val="30"/>
      <w:szCs w:val="21"/>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99"/>
    <w:pPr>
      <w:spacing w:after="120"/>
    </w:pPr>
    <w:rPr>
      <w:kern w:val="0"/>
      <w:sz w:val="20"/>
      <w:szCs w:val="20"/>
    </w:rPr>
  </w:style>
  <w:style w:type="paragraph" w:styleId="5">
    <w:name w:val="footer"/>
    <w:basedOn w:val="1"/>
    <w:link w:val="120"/>
    <w:qFormat/>
    <w:uiPriority w:val="0"/>
    <w:pPr>
      <w:tabs>
        <w:tab w:val="center" w:pos="4153"/>
        <w:tab w:val="right" w:pos="8306"/>
      </w:tabs>
      <w:snapToGrid w:val="0"/>
      <w:jc w:val="left"/>
    </w:pPr>
    <w:rPr>
      <w:sz w:val="18"/>
      <w:szCs w:val="18"/>
    </w:rPr>
  </w:style>
  <w:style w:type="paragraph" w:styleId="6">
    <w:name w:val="header"/>
    <w:basedOn w:val="1"/>
    <w:link w:val="11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next w:val="4"/>
    <w:qFormat/>
    <w:uiPriority w:val="99"/>
    <w:rPr>
      <w:rFonts w:ascii="宋体" w:hAnsi="宋体" w:cs="宋体"/>
      <w:kern w:val="0"/>
      <w:sz w:val="24"/>
      <w:szCs w:val="24"/>
    </w:rPr>
  </w:style>
  <w:style w:type="paragraph" w:styleId="8">
    <w:name w:val="Title"/>
    <w:basedOn w:val="1"/>
    <w:link w:val="124"/>
    <w:autoRedefine/>
    <w:qFormat/>
    <w:uiPriority w:val="10"/>
    <w:pPr>
      <w:spacing w:before="240" w:after="60"/>
      <w:jc w:val="center"/>
      <w:outlineLvl w:val="0"/>
    </w:pPr>
    <w:rPr>
      <w:rFonts w:ascii="Cambria" w:hAnsi="Cambria"/>
      <w:b/>
      <w:bCs/>
      <w:kern w:val="0"/>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
    <w:name w:val="标题 11"/>
    <w:basedOn w:val="1"/>
    <w:link w:val="21"/>
    <w:autoRedefine/>
    <w:qFormat/>
    <w:uiPriority w:val="0"/>
    <w:pPr>
      <w:keepNext/>
      <w:keepLines/>
      <w:spacing w:before="340" w:after="330" w:line="578" w:lineRule="auto"/>
      <w:outlineLvl w:val="0"/>
    </w:pPr>
    <w:rPr>
      <w:b/>
      <w:bCs/>
      <w:kern w:val="44"/>
      <w:sz w:val="44"/>
      <w:szCs w:val="44"/>
    </w:rPr>
  </w:style>
  <w:style w:type="paragraph" w:customStyle="1" w:styleId="16">
    <w:name w:val="标题 21"/>
    <w:basedOn w:val="1"/>
    <w:link w:val="22"/>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7">
    <w:name w:val="标题 31"/>
    <w:basedOn w:val="1"/>
    <w:link w:val="23"/>
    <w:autoRedefine/>
    <w:qFormat/>
    <w:uiPriority w:val="0"/>
    <w:pPr>
      <w:keepNext/>
      <w:keepLines/>
      <w:spacing w:before="260" w:after="260" w:line="416" w:lineRule="auto"/>
      <w:outlineLvl w:val="2"/>
    </w:pPr>
    <w:rPr>
      <w:b/>
      <w:bCs/>
      <w:sz w:val="32"/>
      <w:szCs w:val="32"/>
    </w:rPr>
  </w:style>
  <w:style w:type="paragraph" w:customStyle="1" w:styleId="18">
    <w:name w:val="标题 41"/>
    <w:basedOn w:val="1"/>
    <w:link w:val="24"/>
    <w:autoRedefine/>
    <w:qFormat/>
    <w:uiPriority w:val="0"/>
    <w:pPr>
      <w:keepNext/>
      <w:jc w:val="center"/>
      <w:outlineLvl w:val="3"/>
    </w:pPr>
    <w:rPr>
      <w:rFonts w:eastAsia="新宋体"/>
      <w:sz w:val="30"/>
      <w:szCs w:val="21"/>
    </w:rPr>
  </w:style>
  <w:style w:type="character" w:customStyle="1" w:styleId="19">
    <w:name w:val="默认段落字体1"/>
    <w:autoRedefine/>
    <w:qFormat/>
    <w:uiPriority w:val="0"/>
  </w:style>
  <w:style w:type="table" w:customStyle="1" w:styleId="20">
    <w:name w:val="普通表格1"/>
    <w:autoRedefine/>
    <w:qFormat/>
    <w:uiPriority w:val="0"/>
    <w:tblPr>
      <w:tblCellMar>
        <w:top w:w="0" w:type="dxa"/>
        <w:left w:w="0" w:type="dxa"/>
        <w:bottom w:w="0" w:type="dxa"/>
        <w:right w:w="0" w:type="dxa"/>
      </w:tblCellMar>
    </w:tblPr>
  </w:style>
  <w:style w:type="character" w:customStyle="1" w:styleId="21">
    <w:name w:val="标题 1 字符"/>
    <w:link w:val="15"/>
    <w:autoRedefine/>
    <w:qFormat/>
    <w:uiPriority w:val="0"/>
    <w:rPr>
      <w:b/>
      <w:bCs/>
      <w:kern w:val="44"/>
      <w:sz w:val="44"/>
      <w:szCs w:val="44"/>
    </w:rPr>
  </w:style>
  <w:style w:type="character" w:customStyle="1" w:styleId="22">
    <w:name w:val="标题 2 字符"/>
    <w:link w:val="16"/>
    <w:autoRedefine/>
    <w:qFormat/>
    <w:uiPriority w:val="0"/>
    <w:rPr>
      <w:rFonts w:ascii="Arial" w:hAnsi="Arial" w:eastAsia="黑体"/>
      <w:b/>
      <w:bCs/>
      <w:kern w:val="2"/>
      <w:sz w:val="32"/>
      <w:szCs w:val="32"/>
    </w:rPr>
  </w:style>
  <w:style w:type="character" w:customStyle="1" w:styleId="23">
    <w:name w:val="标题 3 字符"/>
    <w:link w:val="17"/>
    <w:autoRedefine/>
    <w:qFormat/>
    <w:uiPriority w:val="0"/>
    <w:rPr>
      <w:b/>
      <w:bCs/>
      <w:kern w:val="2"/>
      <w:sz w:val="32"/>
      <w:szCs w:val="32"/>
    </w:rPr>
  </w:style>
  <w:style w:type="character" w:customStyle="1" w:styleId="24">
    <w:name w:val="标题 4 字符"/>
    <w:link w:val="18"/>
    <w:autoRedefine/>
    <w:qFormat/>
    <w:uiPriority w:val="0"/>
    <w:rPr>
      <w:rFonts w:eastAsia="新宋体"/>
      <w:kern w:val="2"/>
      <w:sz w:val="30"/>
      <w:szCs w:val="21"/>
    </w:rPr>
  </w:style>
  <w:style w:type="paragraph" w:customStyle="1" w:styleId="25">
    <w:name w:val="正文缩进1"/>
    <w:basedOn w:val="1"/>
    <w:link w:val="26"/>
    <w:autoRedefine/>
    <w:qFormat/>
    <w:uiPriority w:val="0"/>
    <w:pPr>
      <w:ind w:firstLine="420"/>
    </w:pPr>
    <w:rPr>
      <w:szCs w:val="20"/>
    </w:rPr>
  </w:style>
  <w:style w:type="character" w:customStyle="1" w:styleId="26">
    <w:name w:val="正文缩进 字符"/>
    <w:link w:val="25"/>
    <w:autoRedefine/>
    <w:qFormat/>
    <w:uiPriority w:val="0"/>
    <w:rPr>
      <w:kern w:val="2"/>
      <w:sz w:val="21"/>
    </w:rPr>
  </w:style>
  <w:style w:type="paragraph" w:customStyle="1" w:styleId="27">
    <w:name w:val="文档结构图1"/>
    <w:basedOn w:val="1"/>
    <w:link w:val="28"/>
    <w:autoRedefine/>
    <w:semiHidden/>
    <w:qFormat/>
    <w:uiPriority w:val="0"/>
    <w:pPr>
      <w:shd w:val="clear" w:color="auto" w:fill="000080"/>
    </w:pPr>
  </w:style>
  <w:style w:type="character" w:customStyle="1" w:styleId="28">
    <w:name w:val="文档结构图 字符"/>
    <w:link w:val="27"/>
    <w:autoRedefine/>
    <w:semiHidden/>
    <w:qFormat/>
    <w:uiPriority w:val="0"/>
    <w:rPr>
      <w:kern w:val="2"/>
      <w:sz w:val="21"/>
      <w:szCs w:val="24"/>
      <w:shd w:val="clear" w:color="auto" w:fill="000080"/>
    </w:rPr>
  </w:style>
  <w:style w:type="paragraph" w:customStyle="1" w:styleId="29">
    <w:name w:val="引文目录标题1"/>
    <w:basedOn w:val="1"/>
    <w:autoRedefine/>
    <w:qFormat/>
    <w:uiPriority w:val="0"/>
    <w:pPr>
      <w:spacing w:line="360" w:lineRule="atLeast"/>
      <w:jc w:val="center"/>
    </w:pPr>
    <w:rPr>
      <w:rFonts w:ascii="Arial" w:hAnsi="Arial" w:eastAsia="黑体"/>
      <w:kern w:val="0"/>
      <w:sz w:val="36"/>
      <w:szCs w:val="20"/>
    </w:rPr>
  </w:style>
  <w:style w:type="paragraph" w:customStyle="1" w:styleId="30">
    <w:name w:val="批注文字1"/>
    <w:basedOn w:val="1"/>
    <w:link w:val="31"/>
    <w:autoRedefine/>
    <w:qFormat/>
    <w:uiPriority w:val="0"/>
    <w:pPr>
      <w:jc w:val="left"/>
    </w:pPr>
  </w:style>
  <w:style w:type="character" w:customStyle="1" w:styleId="31">
    <w:name w:val="批注文字 字符"/>
    <w:link w:val="30"/>
    <w:qFormat/>
    <w:uiPriority w:val="0"/>
    <w:rPr>
      <w:kern w:val="2"/>
      <w:sz w:val="21"/>
      <w:szCs w:val="24"/>
    </w:rPr>
  </w:style>
  <w:style w:type="paragraph" w:customStyle="1" w:styleId="32">
    <w:name w:val="正文文本11"/>
    <w:basedOn w:val="1"/>
    <w:qFormat/>
    <w:uiPriority w:val="0"/>
    <w:pPr>
      <w:spacing w:line="400" w:lineRule="exact"/>
    </w:pPr>
    <w:rPr>
      <w:rFonts w:ascii="楷体_GB2312"/>
      <w:sz w:val="28"/>
    </w:rPr>
  </w:style>
  <w:style w:type="paragraph" w:customStyle="1" w:styleId="33">
    <w:name w:val="目录 21"/>
    <w:basedOn w:val="1"/>
    <w:autoRedefine/>
    <w:qFormat/>
    <w:uiPriority w:val="0"/>
    <w:pPr>
      <w:spacing w:line="360" w:lineRule="exact"/>
      <w:ind w:left="420" w:leftChars="200"/>
    </w:pPr>
    <w:rPr>
      <w:rFonts w:ascii="Calibri" w:hAnsi="Calibri"/>
    </w:rPr>
  </w:style>
  <w:style w:type="paragraph" w:customStyle="1" w:styleId="34">
    <w:name w:val="正文文本缩进1"/>
    <w:basedOn w:val="1"/>
    <w:link w:val="35"/>
    <w:autoRedefine/>
    <w:qFormat/>
    <w:uiPriority w:val="0"/>
    <w:pPr>
      <w:spacing w:after="120"/>
      <w:ind w:left="420" w:leftChars="200"/>
    </w:pPr>
  </w:style>
  <w:style w:type="character" w:customStyle="1" w:styleId="35">
    <w:name w:val="正文文本缩进 字符"/>
    <w:link w:val="34"/>
    <w:autoRedefine/>
    <w:qFormat/>
    <w:uiPriority w:val="0"/>
    <w:rPr>
      <w:kern w:val="2"/>
      <w:sz w:val="21"/>
      <w:szCs w:val="24"/>
    </w:rPr>
  </w:style>
  <w:style w:type="paragraph" w:customStyle="1" w:styleId="36">
    <w:name w:val="寄信人地址1"/>
    <w:basedOn w:val="1"/>
    <w:autoRedefine/>
    <w:qFormat/>
    <w:uiPriority w:val="0"/>
    <w:pPr>
      <w:snapToGrid w:val="0"/>
    </w:pPr>
    <w:rPr>
      <w:rFonts w:ascii="Arial" w:hAnsi="Arial"/>
    </w:rPr>
  </w:style>
  <w:style w:type="paragraph" w:customStyle="1" w:styleId="37">
    <w:name w:val="文本块1"/>
    <w:basedOn w:val="1"/>
    <w:autoRedefine/>
    <w:qFormat/>
    <w:uiPriority w:val="0"/>
    <w:pPr>
      <w:ind w:left="1440" w:leftChars="700" w:right="700" w:rightChars="700"/>
    </w:pPr>
    <w:rPr>
      <w:color w:val="FF0000"/>
      <w:sz w:val="18"/>
    </w:rPr>
  </w:style>
  <w:style w:type="paragraph" w:customStyle="1" w:styleId="38">
    <w:name w:val="索引 41"/>
    <w:basedOn w:val="1"/>
    <w:autoRedefine/>
    <w:qFormat/>
    <w:uiPriority w:val="0"/>
    <w:pPr>
      <w:ind w:left="600" w:leftChars="600"/>
    </w:pPr>
  </w:style>
  <w:style w:type="paragraph" w:customStyle="1" w:styleId="39">
    <w:name w:val="纯文本1"/>
    <w:basedOn w:val="1"/>
    <w:autoRedefine/>
    <w:qFormat/>
    <w:uiPriority w:val="0"/>
    <w:rPr>
      <w:rFonts w:ascii="宋体" w:hAnsi="Courier New"/>
      <w:szCs w:val="20"/>
    </w:rPr>
  </w:style>
  <w:style w:type="paragraph" w:customStyle="1" w:styleId="40">
    <w:name w:val="日期1"/>
    <w:basedOn w:val="1"/>
    <w:link w:val="41"/>
    <w:autoRedefine/>
    <w:qFormat/>
    <w:uiPriority w:val="0"/>
    <w:pPr>
      <w:ind w:left="100" w:leftChars="2500"/>
    </w:pPr>
  </w:style>
  <w:style w:type="character" w:customStyle="1" w:styleId="41">
    <w:name w:val="日期 字符"/>
    <w:link w:val="40"/>
    <w:autoRedefine/>
    <w:qFormat/>
    <w:uiPriority w:val="0"/>
    <w:rPr>
      <w:kern w:val="2"/>
      <w:sz w:val="21"/>
      <w:szCs w:val="24"/>
    </w:rPr>
  </w:style>
  <w:style w:type="paragraph" w:customStyle="1" w:styleId="42">
    <w:name w:val="正文文本缩进 21"/>
    <w:basedOn w:val="1"/>
    <w:autoRedefine/>
    <w:qFormat/>
    <w:uiPriority w:val="0"/>
    <w:pPr>
      <w:spacing w:after="120" w:line="480" w:lineRule="auto"/>
      <w:ind w:left="420" w:leftChars="200"/>
    </w:pPr>
  </w:style>
  <w:style w:type="paragraph" w:customStyle="1" w:styleId="43">
    <w:name w:val="批注框文本1"/>
    <w:basedOn w:val="1"/>
    <w:link w:val="44"/>
    <w:autoRedefine/>
    <w:semiHidden/>
    <w:qFormat/>
    <w:uiPriority w:val="0"/>
    <w:rPr>
      <w:sz w:val="18"/>
      <w:szCs w:val="18"/>
    </w:rPr>
  </w:style>
  <w:style w:type="character" w:customStyle="1" w:styleId="44">
    <w:name w:val="批注框文本 字符"/>
    <w:link w:val="43"/>
    <w:autoRedefine/>
    <w:semiHidden/>
    <w:qFormat/>
    <w:uiPriority w:val="0"/>
    <w:rPr>
      <w:kern w:val="2"/>
      <w:sz w:val="18"/>
      <w:szCs w:val="18"/>
    </w:rPr>
  </w:style>
  <w:style w:type="paragraph" w:customStyle="1" w:styleId="45">
    <w:name w:val="页脚1"/>
    <w:basedOn w:val="1"/>
    <w:link w:val="46"/>
    <w:autoRedefine/>
    <w:qFormat/>
    <w:uiPriority w:val="0"/>
    <w:pPr>
      <w:tabs>
        <w:tab w:val="center" w:pos="4153"/>
        <w:tab w:val="right" w:pos="8306"/>
      </w:tabs>
      <w:snapToGrid w:val="0"/>
      <w:jc w:val="left"/>
    </w:pPr>
    <w:rPr>
      <w:sz w:val="18"/>
      <w:szCs w:val="18"/>
    </w:rPr>
  </w:style>
  <w:style w:type="character" w:customStyle="1" w:styleId="46">
    <w:name w:val="页脚 字符"/>
    <w:link w:val="45"/>
    <w:autoRedefine/>
    <w:qFormat/>
    <w:uiPriority w:val="0"/>
    <w:rPr>
      <w:kern w:val="2"/>
      <w:sz w:val="18"/>
      <w:szCs w:val="18"/>
    </w:rPr>
  </w:style>
  <w:style w:type="paragraph" w:customStyle="1" w:styleId="47">
    <w:name w:val="页眉1"/>
    <w:basedOn w:val="1"/>
    <w:link w:val="48"/>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48">
    <w:name w:val="页眉 字符"/>
    <w:link w:val="47"/>
    <w:qFormat/>
    <w:uiPriority w:val="0"/>
    <w:rPr>
      <w:kern w:val="2"/>
      <w:sz w:val="18"/>
      <w:szCs w:val="18"/>
    </w:rPr>
  </w:style>
  <w:style w:type="paragraph" w:customStyle="1" w:styleId="49">
    <w:name w:val="正文文本缩进 31"/>
    <w:basedOn w:val="1"/>
    <w:link w:val="50"/>
    <w:autoRedefine/>
    <w:qFormat/>
    <w:uiPriority w:val="0"/>
    <w:pPr>
      <w:spacing w:line="520" w:lineRule="exact"/>
      <w:ind w:firstLine="539" w:firstLineChars="184"/>
    </w:pPr>
    <w:rPr>
      <w:rFonts w:ascii="宋体"/>
      <w:b/>
      <w:spacing w:val="6"/>
      <w:sz w:val="28"/>
    </w:rPr>
  </w:style>
  <w:style w:type="character" w:customStyle="1" w:styleId="50">
    <w:name w:val="正文文本缩进 3 字符"/>
    <w:link w:val="49"/>
    <w:qFormat/>
    <w:uiPriority w:val="0"/>
    <w:rPr>
      <w:rFonts w:ascii="宋体"/>
      <w:b/>
      <w:spacing w:val="6"/>
      <w:kern w:val="2"/>
      <w:sz w:val="28"/>
      <w:szCs w:val="24"/>
    </w:rPr>
  </w:style>
  <w:style w:type="paragraph" w:customStyle="1" w:styleId="51">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
    <w:name w:val="标题1"/>
    <w:basedOn w:val="1"/>
    <w:autoRedefine/>
    <w:qFormat/>
    <w:uiPriority w:val="0"/>
    <w:pPr>
      <w:spacing w:before="240" w:after="60"/>
      <w:jc w:val="center"/>
      <w:outlineLvl w:val="0"/>
    </w:pPr>
    <w:rPr>
      <w:rFonts w:ascii="Cambria" w:hAnsi="Cambria"/>
      <w:b/>
      <w:bCs/>
      <w:sz w:val="32"/>
      <w:szCs w:val="32"/>
    </w:rPr>
  </w:style>
  <w:style w:type="paragraph" w:customStyle="1" w:styleId="53">
    <w:name w:val="批注主题1"/>
    <w:basedOn w:val="30"/>
    <w:link w:val="54"/>
    <w:autoRedefine/>
    <w:qFormat/>
    <w:uiPriority w:val="0"/>
    <w:rPr>
      <w:b/>
      <w:bCs/>
    </w:rPr>
  </w:style>
  <w:style w:type="character" w:customStyle="1" w:styleId="54">
    <w:name w:val="批注主题 字符"/>
    <w:link w:val="53"/>
    <w:autoRedefine/>
    <w:semiHidden/>
    <w:qFormat/>
    <w:uiPriority w:val="0"/>
    <w:rPr>
      <w:b/>
      <w:bCs/>
      <w:kern w:val="2"/>
      <w:sz w:val="21"/>
      <w:szCs w:val="24"/>
    </w:rPr>
  </w:style>
  <w:style w:type="paragraph" w:customStyle="1" w:styleId="55">
    <w:name w:val="正文首行缩进1"/>
    <w:basedOn w:val="32"/>
    <w:autoRedefine/>
    <w:qFormat/>
    <w:uiPriority w:val="0"/>
    <w:pPr>
      <w:spacing w:line="360" w:lineRule="auto"/>
    </w:pPr>
    <w:rPr>
      <w:rFonts w:eastAsia="仿宋"/>
    </w:rPr>
  </w:style>
  <w:style w:type="paragraph" w:customStyle="1" w:styleId="56">
    <w:name w:val="正文首行缩进 21"/>
    <w:basedOn w:val="34"/>
    <w:link w:val="57"/>
    <w:qFormat/>
    <w:uiPriority w:val="0"/>
    <w:pPr>
      <w:ind w:firstLine="200" w:firstLineChars="200"/>
    </w:pPr>
  </w:style>
  <w:style w:type="character" w:customStyle="1" w:styleId="57">
    <w:name w:val="正文文本首行缩进 2 字符"/>
    <w:link w:val="56"/>
    <w:autoRedefine/>
    <w:qFormat/>
    <w:uiPriority w:val="0"/>
  </w:style>
  <w:style w:type="table" w:customStyle="1" w:styleId="58">
    <w:name w:val="网格型1"/>
    <w:basedOn w:val="20"/>
    <w:autoRedefine/>
    <w:qFormat/>
    <w:uiPriority w:val="0"/>
    <w:pPr>
      <w:widowControl w:val="0"/>
      <w:jc w:val="both"/>
    </w:pPr>
    <w:tblPr>
      <w:tblCellMar>
        <w:top w:w="0" w:type="dxa"/>
        <w:left w:w="0" w:type="dxa"/>
        <w:bottom w:w="0" w:type="dxa"/>
        <w:right w:w="0" w:type="dxa"/>
      </w:tblCellMar>
    </w:tblPr>
  </w:style>
  <w:style w:type="character" w:customStyle="1" w:styleId="59">
    <w:name w:val="要点1"/>
    <w:basedOn w:val="19"/>
    <w:autoRedefine/>
    <w:qFormat/>
    <w:uiPriority w:val="0"/>
    <w:rPr>
      <w:b/>
      <w:bCs/>
    </w:rPr>
  </w:style>
  <w:style w:type="character" w:customStyle="1" w:styleId="60">
    <w:name w:val="页码1"/>
    <w:autoRedefine/>
    <w:qFormat/>
    <w:uiPriority w:val="0"/>
  </w:style>
  <w:style w:type="character" w:customStyle="1" w:styleId="61">
    <w:name w:val="已访问的超链接1"/>
    <w:autoRedefine/>
    <w:qFormat/>
    <w:uiPriority w:val="0"/>
    <w:rPr>
      <w:color w:val="800080"/>
      <w:u w:val="none"/>
    </w:rPr>
  </w:style>
  <w:style w:type="character" w:customStyle="1" w:styleId="62">
    <w:name w:val="强调1"/>
    <w:autoRedefine/>
    <w:qFormat/>
    <w:uiPriority w:val="0"/>
    <w:rPr>
      <w:b/>
      <w:bCs/>
    </w:rPr>
  </w:style>
  <w:style w:type="character" w:customStyle="1" w:styleId="63">
    <w:name w:val="HTML 定义1"/>
    <w:autoRedefine/>
    <w:qFormat/>
    <w:uiPriority w:val="0"/>
  </w:style>
  <w:style w:type="character" w:customStyle="1" w:styleId="64">
    <w:name w:val="HTML 打字机1"/>
    <w:autoRedefine/>
    <w:qFormat/>
    <w:uiPriority w:val="0"/>
    <w:rPr>
      <w:rFonts w:ascii="monospace" w:hAnsi="monospace" w:eastAsia="monospace"/>
      <w:sz w:val="20"/>
    </w:rPr>
  </w:style>
  <w:style w:type="character" w:customStyle="1" w:styleId="65">
    <w:name w:val="HTML 缩写1"/>
    <w:autoRedefine/>
    <w:qFormat/>
    <w:uiPriority w:val="0"/>
  </w:style>
  <w:style w:type="character" w:customStyle="1" w:styleId="66">
    <w:name w:val="HTML 变量1"/>
    <w:autoRedefine/>
    <w:qFormat/>
    <w:uiPriority w:val="0"/>
  </w:style>
  <w:style w:type="character" w:customStyle="1" w:styleId="67">
    <w:name w:val="超链接1"/>
    <w:autoRedefine/>
    <w:qFormat/>
    <w:uiPriority w:val="0"/>
    <w:rPr>
      <w:color w:val="0000FF"/>
      <w:u w:val="none"/>
    </w:rPr>
  </w:style>
  <w:style w:type="character" w:customStyle="1" w:styleId="68">
    <w:name w:val="HTML 代码1"/>
    <w:autoRedefine/>
    <w:qFormat/>
    <w:uiPriority w:val="0"/>
    <w:rPr>
      <w:rFonts w:ascii="monospace" w:hAnsi="monospace" w:eastAsia="monospace"/>
      <w:sz w:val="20"/>
    </w:rPr>
  </w:style>
  <w:style w:type="character" w:customStyle="1" w:styleId="69">
    <w:name w:val="批注引用1"/>
    <w:autoRedefine/>
    <w:qFormat/>
    <w:uiPriority w:val="0"/>
    <w:rPr>
      <w:sz w:val="21"/>
      <w:szCs w:val="21"/>
    </w:rPr>
  </w:style>
  <w:style w:type="character" w:customStyle="1" w:styleId="70">
    <w:name w:val="HTML 引文1"/>
    <w:autoRedefine/>
    <w:qFormat/>
    <w:uiPriority w:val="0"/>
  </w:style>
  <w:style w:type="character" w:customStyle="1" w:styleId="71">
    <w:name w:val="HTML 键盘1"/>
    <w:autoRedefine/>
    <w:qFormat/>
    <w:uiPriority w:val="0"/>
    <w:rPr>
      <w:rFonts w:ascii="monospace" w:hAnsi="monospace" w:eastAsia="monospace"/>
      <w:sz w:val="20"/>
    </w:rPr>
  </w:style>
  <w:style w:type="character" w:customStyle="1" w:styleId="72">
    <w:name w:val="HTML 样本1"/>
    <w:autoRedefine/>
    <w:qFormat/>
    <w:uiPriority w:val="0"/>
    <w:rPr>
      <w:rFonts w:ascii="monospace" w:hAnsi="monospace" w:eastAsia="monospace"/>
    </w:rPr>
  </w:style>
  <w:style w:type="paragraph" w:customStyle="1" w:styleId="73">
    <w:name w:val="Default"/>
    <w:basedOn w:val="1"/>
    <w:autoRedefine/>
    <w:qFormat/>
    <w:uiPriority w:val="0"/>
    <w:pPr>
      <w:autoSpaceDE w:val="0"/>
      <w:autoSpaceDN w:val="0"/>
      <w:jc w:val="left"/>
    </w:pPr>
    <w:rPr>
      <w:rFonts w:ascii="Arial" w:hAnsi="Arial" w:eastAsia="PMingLiU"/>
      <w:kern w:val="0"/>
      <w:sz w:val="20"/>
      <w:szCs w:val="20"/>
    </w:rPr>
  </w:style>
  <w:style w:type="paragraph" w:customStyle="1" w:styleId="74">
    <w:name w:val="正文1"/>
    <w:basedOn w:val="75"/>
    <w:autoRedefine/>
    <w:qFormat/>
    <w:uiPriority w:val="0"/>
    <w:pPr>
      <w:spacing w:line="360" w:lineRule="auto"/>
      <w:ind w:firstLine="361"/>
    </w:pPr>
    <w:rPr>
      <w:rFonts w:ascii="宋体" w:hAnsi="宋体" w:eastAsia="宋体"/>
    </w:rPr>
  </w:style>
  <w:style w:type="paragraph" w:customStyle="1" w:styleId="75">
    <w:name w:val="样式1"/>
    <w:basedOn w:val="1"/>
    <w:autoRedefine/>
    <w:qFormat/>
    <w:uiPriority w:val="0"/>
    <w:pPr>
      <w:widowControl/>
      <w:spacing w:after="200" w:line="480" w:lineRule="auto"/>
      <w:jc w:val="left"/>
    </w:pPr>
    <w:rPr>
      <w:rFonts w:ascii="EU-F1" w:eastAsia="黑体"/>
      <w:kern w:val="0"/>
      <w:sz w:val="20"/>
      <w:szCs w:val="21"/>
    </w:rPr>
  </w:style>
  <w:style w:type="paragraph" w:customStyle="1" w:styleId="76">
    <w:name w:val="正文文本1"/>
    <w:basedOn w:val="74"/>
    <w:autoRedefine/>
    <w:qFormat/>
    <w:uiPriority w:val="0"/>
    <w:rPr>
      <w:lang w:eastAsia="en-US"/>
    </w:rPr>
  </w:style>
  <w:style w:type="paragraph" w:customStyle="1" w:styleId="77">
    <w:name w:val="一级条标题"/>
    <w:basedOn w:val="78"/>
    <w:autoRedefine/>
    <w:qFormat/>
    <w:uiPriority w:val="0"/>
    <w:pPr>
      <w:tabs>
        <w:tab w:val="left" w:pos="810"/>
        <w:tab w:val="left" w:pos="1265"/>
      </w:tabs>
      <w:spacing w:before="0" w:after="0"/>
      <w:ind w:left="907" w:hanging="907"/>
      <w:outlineLvl w:val="2"/>
    </w:pPr>
    <w:rPr>
      <w:rFonts w:hAnsi="宋体"/>
      <w:sz w:val="20"/>
      <w:szCs w:val="20"/>
    </w:rPr>
  </w:style>
  <w:style w:type="paragraph" w:customStyle="1" w:styleId="78">
    <w:name w:val="章标题"/>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79">
    <w:name w:val="段"/>
    <w:autoRedefine/>
    <w:qFormat/>
    <w:uiPriority w:val="0"/>
    <w:pPr>
      <w:tabs>
        <w:tab w:val="center" w:pos="4201"/>
        <w:tab w:val="right" w:leader="dot" w:pos="9298"/>
      </w:tabs>
      <w:ind w:firstLine="420"/>
      <w:jc w:val="both"/>
    </w:pPr>
    <w:rPr>
      <w:rFonts w:ascii="宋体" w:hAnsi="Times New Roman" w:eastAsia="宋体" w:cs="Times New Roman"/>
      <w:lang w:val="en-US" w:eastAsia="zh-CN" w:bidi="ar-SA"/>
    </w:rPr>
  </w:style>
  <w:style w:type="character" w:customStyle="1" w:styleId="80">
    <w:name w:val="正文缩进2格 Char"/>
    <w:link w:val="81"/>
    <w:autoRedefine/>
    <w:qFormat/>
    <w:uiPriority w:val="0"/>
    <w:rPr>
      <w:rFonts w:ascii="仿宋_GB2312" w:hAnsi="宋体" w:eastAsia="仿宋_GB2312"/>
      <w:kern w:val="2"/>
      <w:sz w:val="31"/>
      <w:szCs w:val="28"/>
    </w:rPr>
  </w:style>
  <w:style w:type="paragraph" w:customStyle="1" w:styleId="81">
    <w:name w:val="正文缩进2格"/>
    <w:basedOn w:val="1"/>
    <w:link w:val="80"/>
    <w:autoRedefine/>
    <w:qFormat/>
    <w:uiPriority w:val="0"/>
    <w:pPr>
      <w:spacing w:line="600" w:lineRule="exact"/>
      <w:ind w:firstLine="639" w:firstLineChars="206"/>
    </w:pPr>
    <w:rPr>
      <w:rFonts w:ascii="仿宋_GB2312" w:hAnsi="宋体" w:eastAsia="仿宋_GB2312"/>
      <w:sz w:val="31"/>
      <w:szCs w:val="28"/>
    </w:rPr>
  </w:style>
  <w:style w:type="character" w:customStyle="1" w:styleId="82">
    <w:name w:val="标题 3.1 Char"/>
    <w:link w:val="83"/>
    <w:autoRedefine/>
    <w:qFormat/>
    <w:uiPriority w:val="0"/>
    <w:rPr>
      <w:rFonts w:ascii="宋体" w:hAnsi="宋体"/>
      <w:b/>
      <w:bCs/>
      <w:color w:val="000000"/>
      <w:kern w:val="2"/>
      <w:sz w:val="32"/>
      <w:szCs w:val="32"/>
    </w:rPr>
  </w:style>
  <w:style w:type="paragraph" w:customStyle="1" w:styleId="83">
    <w:name w:val="标题 3.1"/>
    <w:basedOn w:val="17"/>
    <w:link w:val="82"/>
    <w:autoRedefine/>
    <w:qFormat/>
    <w:uiPriority w:val="0"/>
    <w:pPr>
      <w:tabs>
        <w:tab w:val="left" w:pos="1440"/>
        <w:tab w:val="left" w:pos="1620"/>
      </w:tabs>
      <w:spacing w:line="600" w:lineRule="exact"/>
    </w:pPr>
    <w:rPr>
      <w:rFonts w:ascii="宋体" w:hAnsi="宋体"/>
      <w:color w:val="000000"/>
    </w:rPr>
  </w:style>
  <w:style w:type="character" w:customStyle="1" w:styleId="84">
    <w:name w:val="普通正文 Char"/>
    <w:link w:val="85"/>
    <w:autoRedefine/>
    <w:qFormat/>
    <w:uiPriority w:val="0"/>
    <w:rPr>
      <w:rFonts w:ascii="Arial" w:hAnsi="Arial"/>
      <w:sz w:val="24"/>
      <w:szCs w:val="24"/>
    </w:rPr>
  </w:style>
  <w:style w:type="paragraph" w:customStyle="1" w:styleId="85">
    <w:name w:val="普通正文"/>
    <w:basedOn w:val="1"/>
    <w:link w:val="84"/>
    <w:autoRedefine/>
    <w:qFormat/>
    <w:uiPriority w:val="0"/>
    <w:pPr>
      <w:spacing w:before="120" w:after="120" w:line="360" w:lineRule="auto"/>
      <w:ind w:left="-2" w:right="120" w:firstLine="480"/>
      <w:jc w:val="center"/>
    </w:pPr>
    <w:rPr>
      <w:rFonts w:ascii="Arial" w:hAnsi="Arial"/>
      <w:kern w:val="0"/>
      <w:sz w:val="24"/>
    </w:rPr>
  </w:style>
  <w:style w:type="character" w:customStyle="1" w:styleId="86">
    <w:name w:val="mini-outputtext1"/>
    <w:autoRedefine/>
    <w:qFormat/>
    <w:uiPriority w:val="0"/>
  </w:style>
  <w:style w:type="character" w:customStyle="1" w:styleId="87">
    <w:name w:val="font31"/>
    <w:autoRedefine/>
    <w:qFormat/>
    <w:uiPriority w:val="0"/>
    <w:rPr>
      <w:rFonts w:hint="eastAsia" w:ascii="宋体" w:hAnsi="宋体" w:eastAsia="宋体"/>
      <w:color w:val="000000"/>
      <w:sz w:val="21"/>
      <w:szCs w:val="21"/>
      <w:u w:val="none"/>
    </w:rPr>
  </w:style>
  <w:style w:type="character" w:customStyle="1" w:styleId="88">
    <w:name w:val="font61"/>
    <w:autoRedefine/>
    <w:qFormat/>
    <w:uiPriority w:val="0"/>
    <w:rPr>
      <w:rFonts w:ascii="Times New Roman" w:hAnsi="Times New Roman"/>
      <w:color w:val="000000"/>
      <w:sz w:val="21"/>
      <w:szCs w:val="21"/>
      <w:u w:val="none"/>
    </w:rPr>
  </w:style>
  <w:style w:type="character" w:customStyle="1" w:styleId="89">
    <w:name w:val="font01"/>
    <w:autoRedefine/>
    <w:qFormat/>
    <w:uiPriority w:val="0"/>
    <w:rPr>
      <w:rFonts w:ascii="等线" w:hAnsi="等线" w:eastAsia="等线"/>
      <w:color w:val="000000"/>
      <w:sz w:val="22"/>
      <w:szCs w:val="22"/>
      <w:u w:val="none"/>
    </w:rPr>
  </w:style>
  <w:style w:type="character" w:customStyle="1" w:styleId="90">
    <w:name w:val="font51"/>
    <w:autoRedefine/>
    <w:qFormat/>
    <w:uiPriority w:val="0"/>
    <w:rPr>
      <w:rFonts w:ascii="等线" w:hAnsi="等线" w:eastAsia="等线"/>
      <w:b/>
      <w:bCs/>
      <w:color w:val="000000"/>
      <w:sz w:val="22"/>
      <w:szCs w:val="22"/>
      <w:u w:val="none"/>
    </w:rPr>
  </w:style>
  <w:style w:type="character" w:customStyle="1" w:styleId="91">
    <w:name w:val="font71"/>
    <w:basedOn w:val="19"/>
    <w:autoRedefine/>
    <w:qFormat/>
    <w:uiPriority w:val="0"/>
    <w:rPr>
      <w:rFonts w:ascii="Arial" w:hAnsi="Arial"/>
      <w:color w:val="000000"/>
      <w:sz w:val="24"/>
      <w:szCs w:val="24"/>
      <w:u w:val="none"/>
    </w:rPr>
  </w:style>
  <w:style w:type="character" w:customStyle="1" w:styleId="92">
    <w:name w:val="font11"/>
    <w:basedOn w:val="19"/>
    <w:autoRedefine/>
    <w:qFormat/>
    <w:uiPriority w:val="0"/>
    <w:rPr>
      <w:rFonts w:hint="eastAsia" w:ascii="仿宋" w:hAnsi="仿宋" w:eastAsia="仿宋"/>
      <w:color w:val="000000"/>
      <w:sz w:val="24"/>
      <w:szCs w:val="24"/>
      <w:u w:val="none"/>
    </w:rPr>
  </w:style>
  <w:style w:type="paragraph" w:customStyle="1" w:styleId="9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msonormalcxsplas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5">
    <w:name w:val="msonormalcxspmidd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6">
    <w:name w:val="Char Char Char Char"/>
    <w:basedOn w:val="1"/>
    <w:autoRedefine/>
    <w:qFormat/>
    <w:uiPriority w:val="0"/>
    <w:rPr>
      <w:rFonts w:ascii="Tahoma" w:hAnsi="Tahoma"/>
      <w:sz w:val="24"/>
      <w:szCs w:val="20"/>
    </w:rPr>
  </w:style>
  <w:style w:type="paragraph" w:customStyle="1" w:styleId="97">
    <w:name w:val="Char"/>
    <w:basedOn w:val="1"/>
    <w:autoRedefine/>
    <w:qFormat/>
    <w:uiPriority w:val="0"/>
    <w:rPr>
      <w:rFonts w:ascii="Tahoma" w:hAnsi="Tahoma"/>
      <w:sz w:val="24"/>
      <w:szCs w:val="20"/>
    </w:rPr>
  </w:style>
  <w:style w:type="paragraph" w:customStyle="1" w:styleId="98">
    <w:name w:val="正文缩进4格"/>
    <w:basedOn w:val="81"/>
    <w:autoRedefine/>
    <w:qFormat/>
    <w:uiPriority w:val="0"/>
    <w:pPr>
      <w:ind w:left="2" w:firstLine="538" w:firstLineChars="192"/>
    </w:pPr>
    <w:rPr>
      <w:color w:val="000000"/>
      <w:sz w:val="28"/>
    </w:rPr>
  </w:style>
  <w:style w:type="paragraph" w:customStyle="1" w:styleId="99">
    <w:name w:val="Char1"/>
    <w:basedOn w:val="1"/>
    <w:autoRedefine/>
    <w:qFormat/>
    <w:uiPriority w:val="0"/>
    <w:pPr>
      <w:tabs>
        <w:tab w:val="left" w:pos="840"/>
      </w:tabs>
      <w:ind w:left="840" w:hanging="420"/>
    </w:pPr>
    <w:rPr>
      <w:sz w:val="24"/>
    </w:rPr>
  </w:style>
  <w:style w:type="paragraph" w:customStyle="1" w:styleId="100">
    <w:name w:val="Char Char 字元 字元 字元 Char Char Char Char"/>
    <w:basedOn w:val="1"/>
    <w:autoRedefine/>
    <w:qFormat/>
    <w:uiPriority w:val="0"/>
    <w:pPr>
      <w:spacing w:line="360" w:lineRule="auto"/>
    </w:pPr>
    <w:rPr>
      <w:kern w:val="0"/>
      <w:sz w:val="24"/>
      <w:szCs w:val="20"/>
    </w:rPr>
  </w:style>
  <w:style w:type="paragraph" w:customStyle="1" w:styleId="101">
    <w:name w:val="首行缩进"/>
    <w:basedOn w:val="1"/>
    <w:autoRedefine/>
    <w:qFormat/>
    <w:uiPriority w:val="0"/>
    <w:pPr>
      <w:ind w:firstLine="480" w:firstLineChars="200"/>
    </w:pPr>
    <w:rPr>
      <w:rFonts w:ascii="Calibri" w:hAnsi="Calibri"/>
      <w:szCs w:val="21"/>
    </w:rPr>
  </w:style>
  <w:style w:type="paragraph" w:customStyle="1" w:styleId="102">
    <w:name w:val="无间隔1"/>
    <w:autoRedefine/>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03">
    <w:name w:val="para"/>
    <w:basedOn w:val="1"/>
    <w:autoRedefine/>
    <w:qFormat/>
    <w:uiPriority w:val="0"/>
    <w:pPr>
      <w:widowControl/>
      <w:spacing w:before="100" w:beforeAutospacing="1" w:after="100" w:afterAutospacing="1"/>
      <w:jc w:val="left"/>
    </w:pPr>
    <w:rPr>
      <w:rFonts w:ascii="Arial" w:hAnsi="Arial"/>
      <w:kern w:val="0"/>
      <w:sz w:val="18"/>
      <w:szCs w:val="18"/>
    </w:rPr>
  </w:style>
  <w:style w:type="paragraph" w:customStyle="1" w:styleId="104">
    <w:name w:val="Char2"/>
    <w:basedOn w:val="1"/>
    <w:autoRedefine/>
    <w:qFormat/>
    <w:uiPriority w:val="0"/>
    <w:rPr>
      <w:rFonts w:ascii="Tahoma" w:hAnsi="Tahoma"/>
      <w:sz w:val="24"/>
      <w:szCs w:val="20"/>
    </w:rPr>
  </w:style>
  <w:style w:type="paragraph" w:customStyle="1" w:styleId="105">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0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7">
    <w:name w:val="sh1"/>
    <w:basedOn w:val="52"/>
    <w:link w:val="123"/>
    <w:autoRedefine/>
    <w:qFormat/>
    <w:uiPriority w:val="0"/>
    <w:pPr>
      <w:spacing w:before="0"/>
    </w:pPr>
    <w:rPr>
      <w:rFonts w:ascii="Arial" w:hAnsi="Arial"/>
      <w:bCs w:val="0"/>
    </w:rPr>
  </w:style>
  <w:style w:type="paragraph" w:customStyle="1" w:styleId="108">
    <w:name w:val="Table Paragraph"/>
    <w:basedOn w:val="1"/>
    <w:autoRedefine/>
    <w:qFormat/>
    <w:uiPriority w:val="0"/>
    <w:rPr>
      <w:rFonts w:ascii="宋体" w:hAnsi="宋体"/>
      <w:lang w:val="zh-CN" w:bidi="zh-CN"/>
    </w:rPr>
  </w:style>
  <w:style w:type="table" w:customStyle="1" w:styleId="109">
    <w:name w:val="Table Normal"/>
    <w:autoRedefine/>
    <w:qFormat/>
    <w:uiPriority w:val="0"/>
    <w:tblPr>
      <w:tblCellMar>
        <w:top w:w="0" w:type="dxa"/>
        <w:left w:w="0" w:type="dxa"/>
        <w:bottom w:w="0" w:type="dxa"/>
        <w:right w:w="0" w:type="dxa"/>
      </w:tblCellMar>
    </w:tblPr>
  </w:style>
  <w:style w:type="paragraph" w:customStyle="1" w:styleId="110">
    <w:name w:val="_Style 93"/>
    <w:basedOn w:val="1"/>
    <w:autoRedefine/>
    <w:qFormat/>
    <w:uiPriority w:val="0"/>
    <w:pPr>
      <w:ind w:firstLine="420" w:firstLineChars="200"/>
    </w:pPr>
  </w:style>
  <w:style w:type="paragraph" w:customStyle="1" w:styleId="111">
    <w:name w:val="列表段落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2">
    <w:name w:val="表格文字"/>
    <w:basedOn w:val="113"/>
    <w:autoRedefine/>
    <w:qFormat/>
    <w:uiPriority w:val="0"/>
  </w:style>
  <w:style w:type="paragraph" w:customStyle="1" w:styleId="113">
    <w:name w:val="表格文字（两侧对齐）"/>
    <w:basedOn w:val="1"/>
    <w:autoRedefine/>
    <w:qFormat/>
    <w:uiPriority w:val="0"/>
    <w:pPr>
      <w:snapToGrid w:val="0"/>
    </w:pPr>
    <w:rPr>
      <w:sz w:val="20"/>
    </w:rPr>
  </w:style>
  <w:style w:type="paragraph" w:customStyle="1" w:styleId="114">
    <w:name w:val="列出段落2"/>
    <w:basedOn w:val="1"/>
    <w:autoRedefine/>
    <w:qFormat/>
    <w:uiPriority w:val="0"/>
    <w:pPr>
      <w:ind w:firstLine="420" w:firstLineChars="200"/>
    </w:pPr>
    <w:rPr>
      <w:kern w:val="0"/>
      <w:sz w:val="20"/>
      <w:szCs w:val="20"/>
    </w:rPr>
  </w:style>
  <w:style w:type="paragraph" w:styleId="115">
    <w:name w:val="List Paragraph"/>
    <w:basedOn w:val="1"/>
    <w:autoRedefine/>
    <w:qFormat/>
    <w:uiPriority w:val="0"/>
    <w:pPr>
      <w:ind w:firstLine="420" w:firstLineChars="200"/>
    </w:pPr>
  </w:style>
  <w:style w:type="paragraph" w:customStyle="1" w:styleId="116">
    <w:name w:val="Plain Text1"/>
    <w:basedOn w:val="1"/>
    <w:autoRedefine/>
    <w:qFormat/>
    <w:uiPriority w:val="0"/>
    <w:pPr>
      <w:widowControl/>
      <w:jc w:val="left"/>
    </w:pPr>
    <w:rPr>
      <w:rFonts w:ascii="宋体" w:hAnsi="宋体" w:eastAsia="楷体_GB2312"/>
      <w:sz w:val="26"/>
      <w:szCs w:val="20"/>
    </w:rPr>
  </w:style>
  <w:style w:type="paragraph" w:customStyle="1" w:styleId="117">
    <w:name w:val="Normal_0_2"/>
    <w:basedOn w:val="1"/>
    <w:autoRedefine/>
    <w:qFormat/>
    <w:uiPriority w:val="0"/>
    <w:pPr>
      <w:widowControl/>
      <w:jc w:val="left"/>
    </w:pPr>
    <w:rPr>
      <w:rFonts w:eastAsia="Times New Roman"/>
      <w:kern w:val="0"/>
      <w:sz w:val="24"/>
    </w:rPr>
  </w:style>
  <w:style w:type="paragraph" w:customStyle="1" w:styleId="118">
    <w:name w:val="USE 1"/>
    <w:basedOn w:val="1"/>
    <w:autoRedefine/>
    <w:qFormat/>
    <w:uiPriority w:val="0"/>
    <w:pPr>
      <w:spacing w:line="200" w:lineRule="atLeast"/>
      <w:jc w:val="left"/>
    </w:pPr>
    <w:rPr>
      <w:rFonts w:ascii="宋体" w:hAnsi="宋体"/>
      <w:b/>
      <w:sz w:val="24"/>
      <w:szCs w:val="28"/>
    </w:rPr>
  </w:style>
  <w:style w:type="character" w:customStyle="1" w:styleId="119">
    <w:name w:val="页眉 字符1"/>
    <w:basedOn w:val="11"/>
    <w:link w:val="6"/>
    <w:autoRedefine/>
    <w:qFormat/>
    <w:uiPriority w:val="0"/>
    <w:rPr>
      <w:kern w:val="2"/>
      <w:sz w:val="18"/>
      <w:szCs w:val="18"/>
    </w:rPr>
  </w:style>
  <w:style w:type="character" w:customStyle="1" w:styleId="120">
    <w:name w:val="页脚 字符1"/>
    <w:basedOn w:val="11"/>
    <w:link w:val="5"/>
    <w:autoRedefine/>
    <w:qFormat/>
    <w:uiPriority w:val="0"/>
    <w:rPr>
      <w:kern w:val="2"/>
      <w:sz w:val="18"/>
      <w:szCs w:val="18"/>
    </w:rPr>
  </w:style>
  <w:style w:type="paragraph" w:customStyle="1" w:styleId="121">
    <w:name w:val="sh3"/>
    <w:basedOn w:val="1"/>
    <w:autoRedefine/>
    <w:qFormat/>
    <w:uiPriority w:val="0"/>
    <w:pPr>
      <w:spacing w:line="460" w:lineRule="exact"/>
      <w:jc w:val="left"/>
    </w:pPr>
    <w:rPr>
      <w:rFonts w:ascii="宋体" w:hAnsi="宋体"/>
      <w:b/>
      <w:sz w:val="21"/>
      <w:szCs w:val="21"/>
    </w:rPr>
  </w:style>
  <w:style w:type="paragraph" w:customStyle="1" w:styleId="122">
    <w:name w:val="sh4"/>
    <w:basedOn w:val="1"/>
    <w:autoRedefine/>
    <w:qFormat/>
    <w:uiPriority w:val="0"/>
    <w:pPr>
      <w:spacing w:line="460" w:lineRule="exact"/>
      <w:ind w:firstLine="420" w:firstLineChars="200"/>
    </w:pPr>
    <w:rPr>
      <w:rFonts w:ascii="宋体" w:hAnsi="宋体"/>
      <w:sz w:val="21"/>
      <w:szCs w:val="21"/>
    </w:rPr>
  </w:style>
  <w:style w:type="character" w:customStyle="1" w:styleId="123">
    <w:name w:val="sh1 Char"/>
    <w:basedOn w:val="124"/>
    <w:link w:val="107"/>
    <w:autoRedefine/>
    <w:qFormat/>
    <w:uiPriority w:val="0"/>
    <w:rPr>
      <w:rFonts w:ascii="Arial" w:hAnsi="Arial"/>
      <w:bCs w:val="0"/>
    </w:rPr>
  </w:style>
  <w:style w:type="character" w:customStyle="1" w:styleId="124">
    <w:name w:val="标题 Char"/>
    <w:link w:val="8"/>
    <w:autoRedefine/>
    <w:qFormat/>
    <w:uiPriority w:val="10"/>
    <w:rPr>
      <w:rFonts w:ascii="Cambria" w:hAnsi="Cambria"/>
      <w:b/>
      <w:bCs/>
      <w:kern w:val="0"/>
      <w:sz w:val="32"/>
      <w:szCs w:val="32"/>
    </w:rPr>
  </w:style>
  <w:style w:type="paragraph" w:customStyle="1" w:styleId="125">
    <w:name w:val="正文2"/>
    <w:basedOn w:val="1"/>
    <w:qFormat/>
    <w:uiPriority w:val="0"/>
    <w:pPr>
      <w:spacing w:before="156"/>
      <w:ind w:firstLine="510" w:firstLineChars="200"/>
      <w:jc w:val="both"/>
    </w:pPr>
    <w:rPr>
      <w:rFonts w:ascii="Calibri" w:hAnsi="Calibri"/>
      <w:sz w:val="24"/>
      <w:szCs w:val="20"/>
    </w:rPr>
  </w:style>
  <w:style w:type="character" w:customStyle="1" w:styleId="126">
    <w:name w:val="font81"/>
    <w:basedOn w:val="11"/>
    <w:qFormat/>
    <w:uiPriority w:val="0"/>
    <w:rPr>
      <w:rFonts w:hint="eastAsia" w:ascii="宋体" w:hAnsi="宋体" w:eastAsia="宋体" w:cs="宋体"/>
      <w:color w:val="000000"/>
      <w:sz w:val="18"/>
      <w:szCs w:val="18"/>
      <w:u w:val="none"/>
      <w:vertAlign w:val="superscript"/>
    </w:rPr>
  </w:style>
  <w:style w:type="character" w:customStyle="1" w:styleId="127">
    <w:name w:val="font21"/>
    <w:basedOn w:val="11"/>
    <w:qFormat/>
    <w:uiPriority w:val="0"/>
    <w:rPr>
      <w:rFonts w:hint="eastAsia" w:ascii="宋体" w:hAnsi="宋体" w:eastAsia="宋体" w:cs="宋体"/>
      <w:color w:val="000000"/>
      <w:sz w:val="18"/>
      <w:szCs w:val="18"/>
      <w:u w:val="none"/>
    </w:rPr>
  </w:style>
  <w:style w:type="paragraph" w:customStyle="1" w:styleId="128">
    <w:name w:val="财政-标题三"/>
    <w:basedOn w:val="129"/>
    <w:autoRedefine/>
    <w:qFormat/>
    <w:uiPriority w:val="0"/>
    <w:pPr>
      <w:numPr>
        <w:ilvl w:val="2"/>
      </w:numPr>
      <w:outlineLvl w:val="2"/>
    </w:pPr>
    <w:rPr>
      <w:sz w:val="32"/>
    </w:rPr>
  </w:style>
  <w:style w:type="paragraph" w:customStyle="1" w:styleId="129">
    <w:name w:val="财政-标题二"/>
    <w:basedOn w:val="130"/>
    <w:autoRedefine/>
    <w:qFormat/>
    <w:uiPriority w:val="0"/>
    <w:pPr>
      <w:numPr>
        <w:ilvl w:val="1"/>
      </w:numPr>
      <w:outlineLvl w:val="1"/>
    </w:pPr>
    <w:rPr>
      <w:sz w:val="36"/>
    </w:rPr>
  </w:style>
  <w:style w:type="paragraph" w:customStyle="1" w:styleId="130">
    <w:name w:val="财政-标题一"/>
    <w:basedOn w:val="1"/>
    <w:autoRedefine/>
    <w:qFormat/>
    <w:uiPriority w:val="0"/>
    <w:pPr>
      <w:numPr>
        <w:ilvl w:val="0"/>
        <w:numId w:val="1"/>
      </w:numPr>
      <w:spacing w:beforeLines="50"/>
      <w:outlineLvl w:val="0"/>
    </w:pPr>
    <w:rPr>
      <w:rFonts w:ascii="Calibri" w:hAnsi="Calibri" w:eastAsia="华文中宋"/>
      <w:b/>
      <w:sz w:val="4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22524</Words>
  <Characters>24584</Characters>
  <Lines>135</Lines>
  <Paragraphs>38</Paragraphs>
  <TotalTime>3</TotalTime>
  <ScaleCrop>false</ScaleCrop>
  <LinksUpToDate>false</LinksUpToDate>
  <CharactersWithSpaces>25126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2024-04-13T00:41:00Z</dcterms:created>
  <dc:creator>孙妍</dc:creator>
  <cp:lastModifiedBy>孙妍</cp:lastModifiedBy>
  <dcterms:modified xsi:type="dcterms:W3CDTF">2024-07-16T00:46:01Z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03601436518D44E2A1A0C15402E5D262_13</vt:lpwstr>
  </property>
</Properties>
</file>