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sz w:val="48"/>
          <w:szCs w:val="48"/>
        </w:rPr>
      </w:pPr>
      <w:bookmarkStart w:id="108" w:name="_GoBack"/>
      <w:bookmarkEnd w:id="108"/>
    </w:p>
    <w:p>
      <w:pPr>
        <w:snapToGrid w:val="0"/>
        <w:spacing w:line="360" w:lineRule="auto"/>
        <w:jc w:val="center"/>
        <w:rPr>
          <w:rFonts w:ascii="宋体" w:hAnsi="宋体" w:cs="宋体"/>
          <w:b/>
          <w:bCs/>
          <w:sz w:val="48"/>
          <w:szCs w:val="48"/>
        </w:rPr>
      </w:pPr>
    </w:p>
    <w:p>
      <w:pPr>
        <w:snapToGrid w:val="0"/>
        <w:spacing w:line="360" w:lineRule="auto"/>
        <w:jc w:val="center"/>
        <w:rPr>
          <w:rFonts w:ascii="宋体" w:hAnsi="宋体" w:cs="宋体"/>
          <w:b/>
          <w:bCs/>
          <w:sz w:val="48"/>
          <w:szCs w:val="48"/>
        </w:rPr>
      </w:pPr>
      <w:r>
        <w:rPr>
          <w:rFonts w:hint="eastAsia" w:ascii="宋体" w:hAnsi="宋体" w:cs="宋体"/>
          <w:b/>
          <w:bCs/>
          <w:sz w:val="48"/>
          <w:szCs w:val="48"/>
        </w:rPr>
        <w:t>江苏省南通卫生高等职业技术学校护理系心肺听诊、腹部触诊实训室项目</w:t>
      </w:r>
    </w:p>
    <w:p>
      <w:pPr>
        <w:snapToGrid w:val="0"/>
        <w:spacing w:line="360" w:lineRule="auto"/>
        <w:jc w:val="center"/>
        <w:rPr>
          <w:rFonts w:ascii="宋体" w:hAnsi="宋体" w:cs="宋体"/>
          <w:b/>
          <w:bCs/>
          <w:sz w:val="44"/>
          <w:szCs w:val="44"/>
        </w:rPr>
      </w:pPr>
      <w:r>
        <w:rPr>
          <w:rFonts w:hint="eastAsia" w:ascii="宋体" w:hAnsi="宋体" w:cs="宋体"/>
          <w:b/>
          <w:bCs/>
          <w:sz w:val="84"/>
          <w:szCs w:val="84"/>
        </w:rPr>
        <w:t>招标文件</w:t>
      </w:r>
    </w:p>
    <w:p>
      <w:pPr>
        <w:spacing w:line="360" w:lineRule="auto"/>
        <w:jc w:val="center"/>
        <w:rPr>
          <w:rFonts w:ascii="宋体" w:hAnsi="宋体" w:cs="宋体"/>
          <w:b/>
          <w:bCs/>
          <w:sz w:val="44"/>
          <w:szCs w:val="44"/>
        </w:rPr>
      </w:pPr>
      <w:r>
        <w:rPr>
          <w:rFonts w:hint="eastAsia" w:ascii="宋体" w:hAnsi="宋体" w:cs="宋体"/>
          <w:b/>
          <w:bCs/>
          <w:sz w:val="44"/>
          <w:szCs w:val="44"/>
        </w:rPr>
        <w:t>（资格后审）</w:t>
      </w:r>
    </w:p>
    <w:p>
      <w:pPr>
        <w:widowControl/>
        <w:jc w:val="center"/>
        <w:rPr>
          <w:rFonts w:ascii="宋体" w:hAnsi="宋体" w:cs="宋体"/>
          <w:b/>
          <w:bCs/>
          <w:sz w:val="32"/>
          <w:szCs w:val="32"/>
        </w:rPr>
      </w:pPr>
      <w:r>
        <w:rPr>
          <w:rFonts w:hint="eastAsia" w:ascii="宋体" w:hAnsi="宋体" w:cs="宋体"/>
          <w:b/>
          <w:bCs/>
          <w:sz w:val="32"/>
          <w:szCs w:val="32"/>
        </w:rPr>
        <w:t xml:space="preserve">项目编号：WXBS2024055  </w:t>
      </w:r>
    </w:p>
    <w:p>
      <w:pPr>
        <w:spacing w:line="360" w:lineRule="auto"/>
        <w:jc w:val="center"/>
        <w:rPr>
          <w:rFonts w:ascii="宋体" w:hAnsi="宋体" w:cs="宋体"/>
          <w:b/>
          <w:bCs/>
          <w:sz w:val="32"/>
          <w:szCs w:val="32"/>
        </w:rPr>
      </w:pPr>
    </w:p>
    <w:p>
      <w:pPr>
        <w:spacing w:line="360" w:lineRule="auto"/>
        <w:rPr>
          <w:rFonts w:ascii="宋体" w:hAnsi="宋体" w:cs="宋体"/>
          <w:b/>
          <w:bCs/>
          <w:sz w:val="32"/>
          <w:szCs w:val="32"/>
        </w:rPr>
      </w:pPr>
      <w:r>
        <w:rPr>
          <w:rFonts w:hint="eastAsia" w:ascii="宋体" w:hAnsi="宋体" w:cs="宋体"/>
          <w:b/>
          <w:bCs/>
          <w:sz w:val="32"/>
          <w:szCs w:val="32"/>
        </w:rPr>
        <w:t xml:space="preserve">                </w:t>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jc w:val="center"/>
        <w:rPr>
          <w:rFonts w:ascii="宋体" w:hAnsi="宋体" w:cs="宋体"/>
          <w:b/>
          <w:sz w:val="30"/>
          <w:szCs w:val="30"/>
        </w:rPr>
      </w:pPr>
      <w:r>
        <w:rPr>
          <w:rFonts w:hint="eastAsia" w:ascii="宋体" w:hAnsi="宋体" w:cs="宋体"/>
          <w:b/>
          <w:sz w:val="36"/>
          <w:szCs w:val="36"/>
        </w:rPr>
        <w:t>采购单位：江苏省南通卫生高等职业技术学校</w:t>
      </w: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二〇二四年六月</w:t>
      </w:r>
    </w:p>
    <w:p>
      <w:pPr>
        <w:spacing w:line="360" w:lineRule="auto"/>
        <w:rPr>
          <w:rFonts w:ascii="宋体" w:hAnsi="宋体" w:cs="宋体"/>
          <w:b/>
          <w:bCs/>
          <w:sz w:val="30"/>
          <w:szCs w:val="30"/>
        </w:rPr>
        <w:sectPr>
          <w:pgSz w:w="12240" w:h="15840"/>
          <w:pgMar w:top="1440" w:right="1340" w:bottom="1440" w:left="1440" w:header="720" w:footer="720" w:gutter="0"/>
          <w:pgNumType w:start="0"/>
          <w:cols w:space="720" w:num="1"/>
        </w:sectPr>
      </w:pP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spacing w:line="360" w:lineRule="auto"/>
        <w:rPr>
          <w:rFonts w:ascii="宋体" w:hAnsi="宋体" w:cs="宋体"/>
          <w:b/>
          <w:bCs/>
          <w:sz w:val="44"/>
          <w:szCs w:val="44"/>
        </w:rPr>
      </w:pPr>
    </w:p>
    <w:p>
      <w:pPr>
        <w:tabs>
          <w:tab w:val="left" w:pos="7740"/>
        </w:tabs>
        <w:adjustRightInd w:val="0"/>
        <w:snapToGrid w:val="0"/>
        <w:spacing w:line="1000" w:lineRule="exact"/>
        <w:ind w:firstLine="640" w:firstLineChars="200"/>
        <w:rPr>
          <w:rFonts w:ascii="仿宋" w:hAnsi="仿宋" w:eastAsia="仿宋" w:cs="仿宋"/>
          <w:spacing w:val="2"/>
          <w:sz w:val="32"/>
          <w:szCs w:val="32"/>
        </w:rPr>
      </w:pPr>
      <w:r>
        <w:rPr>
          <w:rFonts w:hint="eastAsia" w:ascii="仿宋" w:hAnsi="仿宋" w:eastAsia="仿宋" w:cs="仿宋"/>
          <w:bCs/>
          <w:sz w:val="32"/>
          <w:szCs w:val="32"/>
        </w:rPr>
        <w:t>第一部分  投标邀请</w:t>
      </w:r>
    </w:p>
    <w:p>
      <w:pPr>
        <w:tabs>
          <w:tab w:val="left" w:pos="7740"/>
        </w:tabs>
        <w:adjustRightInd w:val="0"/>
        <w:snapToGrid w:val="0"/>
        <w:spacing w:line="1000" w:lineRule="exact"/>
        <w:ind w:firstLine="640" w:firstLineChars="200"/>
        <w:rPr>
          <w:rFonts w:ascii="仿宋" w:hAnsi="仿宋" w:eastAsia="仿宋" w:cs="仿宋"/>
          <w:spacing w:val="2"/>
          <w:sz w:val="32"/>
          <w:szCs w:val="32"/>
        </w:rPr>
      </w:pPr>
      <w:r>
        <w:rPr>
          <w:rFonts w:hint="eastAsia" w:ascii="仿宋" w:hAnsi="仿宋" w:eastAsia="仿宋" w:cs="仿宋"/>
          <w:bCs/>
          <w:sz w:val="32"/>
          <w:szCs w:val="32"/>
        </w:rPr>
        <w:t>第二部分  投标须知</w:t>
      </w:r>
    </w:p>
    <w:p>
      <w:pPr>
        <w:tabs>
          <w:tab w:val="left" w:pos="7740"/>
        </w:tabs>
        <w:adjustRightInd w:val="0"/>
        <w:snapToGrid w:val="0"/>
        <w:spacing w:line="1000" w:lineRule="exact"/>
        <w:ind w:firstLine="640" w:firstLineChars="200"/>
        <w:rPr>
          <w:rFonts w:ascii="仿宋" w:hAnsi="仿宋" w:eastAsia="仿宋" w:cs="仿宋"/>
          <w:spacing w:val="2"/>
          <w:sz w:val="32"/>
          <w:szCs w:val="32"/>
        </w:rPr>
      </w:pPr>
      <w:r>
        <w:rPr>
          <w:rFonts w:hint="eastAsia" w:ascii="仿宋" w:hAnsi="仿宋" w:eastAsia="仿宋" w:cs="仿宋"/>
          <w:bCs/>
          <w:sz w:val="32"/>
          <w:szCs w:val="32"/>
        </w:rPr>
        <w:t>第三部分  项目需求</w:t>
      </w:r>
    </w:p>
    <w:p>
      <w:pPr>
        <w:tabs>
          <w:tab w:val="left" w:pos="7740"/>
        </w:tabs>
        <w:adjustRightInd w:val="0"/>
        <w:snapToGrid w:val="0"/>
        <w:spacing w:line="1000" w:lineRule="exact"/>
        <w:ind w:firstLine="640" w:firstLineChars="200"/>
        <w:rPr>
          <w:rFonts w:ascii="仿宋" w:hAnsi="仿宋" w:eastAsia="仿宋" w:cs="仿宋"/>
          <w:spacing w:val="2"/>
          <w:sz w:val="32"/>
          <w:szCs w:val="32"/>
        </w:rPr>
      </w:pPr>
      <w:r>
        <w:rPr>
          <w:rFonts w:hint="eastAsia" w:ascii="仿宋" w:hAnsi="仿宋" w:eastAsia="仿宋" w:cs="仿宋"/>
          <w:sz w:val="32"/>
          <w:szCs w:val="32"/>
        </w:rPr>
        <w:t xml:space="preserve">第四部分  </w:t>
      </w:r>
      <w:r>
        <w:rPr>
          <w:rFonts w:hint="eastAsia" w:ascii="仿宋" w:hAnsi="仿宋" w:eastAsia="仿宋" w:cs="仿宋"/>
          <w:bCs/>
          <w:sz w:val="32"/>
          <w:szCs w:val="32"/>
        </w:rPr>
        <w:t>开标和评标</w:t>
      </w:r>
    </w:p>
    <w:p>
      <w:pPr>
        <w:tabs>
          <w:tab w:val="left" w:pos="7740"/>
        </w:tabs>
        <w:adjustRightInd w:val="0"/>
        <w:snapToGrid w:val="0"/>
        <w:spacing w:line="1000" w:lineRule="exact"/>
        <w:ind w:firstLine="640" w:firstLineChars="200"/>
        <w:rPr>
          <w:rFonts w:ascii="仿宋" w:hAnsi="仿宋" w:eastAsia="仿宋" w:cs="仿宋"/>
          <w:spacing w:val="2"/>
          <w:sz w:val="32"/>
          <w:szCs w:val="32"/>
        </w:rPr>
      </w:pPr>
      <w:r>
        <w:rPr>
          <w:rFonts w:hint="eastAsia" w:ascii="仿宋" w:hAnsi="仿宋" w:eastAsia="仿宋" w:cs="仿宋"/>
          <w:bCs/>
          <w:sz w:val="32"/>
          <w:szCs w:val="32"/>
        </w:rPr>
        <w:t>第五部分  投标文件组成</w:t>
      </w:r>
    </w:p>
    <w:p>
      <w:pPr>
        <w:snapToGrid w:val="0"/>
        <w:spacing w:line="320" w:lineRule="atLeast"/>
        <w:ind w:firstLine="527" w:firstLineChars="250"/>
        <w:rPr>
          <w:rFonts w:ascii="宋体" w:hAnsi="宋体" w:cs="宋体"/>
          <w:b/>
          <w:bCs/>
        </w:rPr>
      </w:pPr>
      <w:r>
        <w:rPr>
          <w:rFonts w:hint="eastAsia" w:ascii="宋体" w:hAnsi="宋体" w:cs="宋体"/>
          <w:b/>
          <w:bCs/>
        </w:rPr>
        <w:br w:type="page"/>
      </w:r>
    </w:p>
    <w:p>
      <w:pPr>
        <w:pStyle w:val="152"/>
        <w:spacing w:before="312" w:after="312"/>
        <w:rPr>
          <w:rFonts w:ascii="宋体" w:eastAsia="宋体" w:cs="宋体"/>
          <w:sz w:val="36"/>
          <w:szCs w:val="36"/>
        </w:rPr>
      </w:pPr>
      <w:r>
        <w:rPr>
          <w:rFonts w:hint="eastAsia" w:ascii="宋体" w:eastAsia="宋体" w:cs="宋体"/>
          <w:sz w:val="36"/>
          <w:szCs w:val="36"/>
        </w:rPr>
        <w:t>第一部分  投标邀请</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bookmarkStart w:id="0" w:name="_Toc182848970"/>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 (江苏省南通卫生高等职业技术学校护理系心肺听诊、腹部触诊实训室项目）招标项目的潜在投标人应在（江苏省南通卫生高等职业技术学校网站或南通市卫健委网站）获取招标文件，并于2024年7月9日9点30分（北京时间）前递交投标文件。</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一、项目基本情况</w:t>
      </w:r>
    </w:p>
    <w:p>
      <w:pPr>
        <w:adjustRightInd w:val="0"/>
        <w:snapToGrid w:val="0"/>
        <w:spacing w:line="460" w:lineRule="exact"/>
        <w:ind w:firstLine="560" w:firstLineChars="200"/>
        <w:rPr>
          <w:rFonts w:ascii="宋体" w:hAnsi="宋体" w:cs="宋体"/>
          <w:spacing w:val="7"/>
          <w:kern w:val="0"/>
          <w:sz w:val="28"/>
          <w:szCs w:val="22"/>
        </w:rPr>
      </w:pPr>
      <w:r>
        <w:rPr>
          <w:rFonts w:hint="eastAsia" w:ascii="宋体" w:hAnsi="宋体" w:cs="宋体"/>
          <w:sz w:val="28"/>
          <w:szCs w:val="28"/>
        </w:rPr>
        <w:t xml:space="preserve">项目编号：WXBS2024055  </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项目名称：江苏省南通卫生高等职业技术学校护理系心肺听诊、腹部触诊实训室项目</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项目类型：货物</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所属行业：工业</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预算金额：48万元</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最高限价：48万元,报价超过最高限价的按照无效响应处理。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pPr>
        <w:spacing w:line="500" w:lineRule="exact"/>
        <w:ind w:firstLine="560" w:firstLineChars="200"/>
        <w:rPr>
          <w:rFonts w:ascii="宋体" w:hAnsi="宋体" w:cs="宋体"/>
          <w:sz w:val="28"/>
          <w:szCs w:val="28"/>
        </w:rPr>
      </w:pPr>
      <w:r>
        <w:rPr>
          <w:rFonts w:hint="eastAsia" w:ascii="宋体" w:hAnsi="宋体" w:cs="宋体"/>
          <w:sz w:val="28"/>
          <w:szCs w:val="28"/>
        </w:rPr>
        <w:t>合同履行期限：合同签订后30个工作日内完成供货及调试完毕。</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二、申请人的资格要求：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2.具有独立承担民事责任的能力（提供营业执照副本复印件）。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3.本项目的特定资格要求：无。</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4.本项目不接受联合体投标。</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三、获取招标文件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时间：2024年6月19日至2024年7月8日。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地点：江苏省南通卫生高等职业技术学校网站或南通市卫健委网站；</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方式：自行下载。</w:t>
      </w:r>
    </w:p>
    <w:p>
      <w:pPr>
        <w:adjustRightInd w:val="0"/>
        <w:snapToGrid w:val="0"/>
        <w:spacing w:line="460" w:lineRule="exact"/>
        <w:ind w:firstLine="562" w:firstLineChars="200"/>
        <w:rPr>
          <w:rFonts w:ascii="宋体" w:hAnsi="宋体" w:cs="宋体"/>
          <w:sz w:val="28"/>
          <w:szCs w:val="28"/>
        </w:rPr>
      </w:pPr>
      <w:r>
        <w:rPr>
          <w:rFonts w:hint="eastAsia" w:ascii="宋体" w:hAnsi="宋体" w:cs="宋体"/>
          <w:b/>
          <w:sz w:val="28"/>
          <w:szCs w:val="28"/>
        </w:rPr>
        <w:t>四、提交投标文件截止时间、开标时间和地点</w:t>
      </w:r>
    </w:p>
    <w:p>
      <w:pPr>
        <w:adjustRightInd w:val="0"/>
        <w:snapToGrid w:val="0"/>
        <w:spacing w:line="460" w:lineRule="exact"/>
        <w:ind w:firstLine="562" w:firstLineChars="200"/>
        <w:rPr>
          <w:rFonts w:ascii="宋体" w:hAnsi="宋体" w:cs="宋体"/>
          <w:sz w:val="28"/>
          <w:szCs w:val="28"/>
        </w:rPr>
      </w:pPr>
      <w:r>
        <w:rPr>
          <w:rFonts w:hint="eastAsia" w:ascii="宋体" w:hAnsi="宋体" w:cs="宋体"/>
          <w:b/>
          <w:bCs/>
          <w:sz w:val="28"/>
          <w:szCs w:val="28"/>
        </w:rPr>
        <w:t>截止时间</w:t>
      </w:r>
      <w:r>
        <w:rPr>
          <w:rFonts w:hint="eastAsia" w:ascii="宋体" w:hAnsi="宋体" w:cs="宋体"/>
          <w:sz w:val="28"/>
          <w:szCs w:val="28"/>
        </w:rPr>
        <w:t>：2024年7月8日9点30分（北京时间）。逾时，招标人将拒绝接受投标响应文件。</w:t>
      </w:r>
    </w:p>
    <w:p>
      <w:pPr>
        <w:adjustRightInd w:val="0"/>
        <w:snapToGrid w:val="0"/>
        <w:spacing w:line="460" w:lineRule="exact"/>
        <w:ind w:firstLine="562" w:firstLineChars="200"/>
        <w:rPr>
          <w:rFonts w:ascii="宋体" w:hAnsi="宋体" w:cs="宋体"/>
          <w:i/>
          <w:sz w:val="28"/>
          <w:szCs w:val="28"/>
        </w:rPr>
      </w:pPr>
      <w:r>
        <w:rPr>
          <w:rFonts w:hint="eastAsia" w:ascii="宋体" w:hAnsi="宋体" w:cs="宋体"/>
          <w:b/>
          <w:bCs/>
          <w:sz w:val="28"/>
          <w:szCs w:val="28"/>
        </w:rPr>
        <w:t>地点：</w:t>
      </w:r>
      <w:r>
        <w:rPr>
          <w:rFonts w:hint="eastAsia" w:ascii="宋体" w:hAnsi="宋体" w:cs="宋体"/>
          <w:spacing w:val="7"/>
          <w:kern w:val="0"/>
          <w:sz w:val="28"/>
          <w:szCs w:val="22"/>
        </w:rPr>
        <w:t>南通市经济技术开发区振兴东路288号南通卫生高职校行政楼1408室，如有变动另行通知。</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五、</w:t>
      </w:r>
      <w:r>
        <w:rPr>
          <w:rFonts w:hint="eastAsia" w:ascii="宋体" w:hAnsi="宋体" w:cs="宋体"/>
          <w:b/>
          <w:sz w:val="28"/>
          <w:szCs w:val="28"/>
          <w:lang w:eastAsia="zh-CN"/>
        </w:rPr>
        <w:t>通告</w:t>
      </w:r>
      <w:r>
        <w:rPr>
          <w:rFonts w:hint="eastAsia" w:ascii="宋体" w:hAnsi="宋体" w:cs="宋体"/>
          <w:b/>
          <w:sz w:val="28"/>
          <w:szCs w:val="28"/>
        </w:rPr>
        <w:t>期限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自本</w:t>
      </w:r>
      <w:r>
        <w:rPr>
          <w:rFonts w:hint="eastAsia" w:ascii="宋体" w:hAnsi="宋体" w:cs="宋体"/>
          <w:sz w:val="28"/>
          <w:szCs w:val="28"/>
          <w:lang w:eastAsia="zh-CN"/>
        </w:rPr>
        <w:t>通告</w:t>
      </w:r>
      <w:r>
        <w:rPr>
          <w:rFonts w:hint="eastAsia" w:ascii="宋体" w:hAnsi="宋体" w:cs="宋体"/>
          <w:sz w:val="28"/>
          <w:szCs w:val="28"/>
        </w:rPr>
        <w:t>发布之日起5个工作日。</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六、其他补充事宜</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1.投标保证金：免收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2.项目开标活动模式：现场开标，供应商在</w:t>
      </w:r>
      <w:r>
        <w:rPr>
          <w:rFonts w:hint="eastAsia" w:ascii="宋体" w:hAnsi="宋体" w:cs="宋体"/>
          <w:spacing w:val="7"/>
          <w:kern w:val="0"/>
          <w:sz w:val="28"/>
          <w:szCs w:val="22"/>
          <w:u w:val="single"/>
        </w:rPr>
        <w:t>南通市经济技术开</w:t>
      </w:r>
      <w:r>
        <w:rPr>
          <w:rFonts w:hint="eastAsia" w:ascii="宋体" w:hAnsi="宋体" w:cs="宋体"/>
          <w:sz w:val="28"/>
          <w:szCs w:val="28"/>
        </w:rPr>
        <w:t>发区振兴东路288号南通卫生高职校行政楼1408室参加开标活动。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3.样品：详见招标文件项目需求。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4.项目演示：详见招标文件项目需求。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七、对本次招标提出询问，请按以下方式联系。</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1.招标单位：江苏省南通卫生高等职业技术学校</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地址：南通市崇川区南通经济开发区振兴路288号</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需求部门联系人：钱老师  联系电话：13601499098</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招标部门联系人：单老师  联系电话：13511591058</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2.招标代理机构信息</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名称：江苏中润工程建设咨询有限公司</w:t>
      </w:r>
    </w:p>
    <w:p>
      <w:pPr>
        <w:widowControl/>
        <w:shd w:val="clear" w:color="auto" w:fill="FFFFFF"/>
        <w:adjustRightInd w:val="0"/>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地址：南通市崇川路58号南通产业技术研究院9号楼1004室</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联系方式：王先生 0513-55887688 13906272111</w:t>
      </w:r>
    </w:p>
    <w:p>
      <w:pPr>
        <w:rPr>
          <w:rFonts w:ascii="宋体" w:hAnsi="宋体" w:cs="宋体"/>
          <w:bCs/>
          <w:sz w:val="36"/>
          <w:szCs w:val="36"/>
        </w:rPr>
      </w:pPr>
    </w:p>
    <w:p>
      <w:pPr>
        <w:jc w:val="center"/>
        <w:rPr>
          <w:rFonts w:ascii="仿宋" w:hAnsi="仿宋" w:eastAsia="仿宋" w:cs="仿宋"/>
          <w:b/>
          <w:sz w:val="36"/>
          <w:szCs w:val="36"/>
        </w:rPr>
      </w:pPr>
      <w:r>
        <w:rPr>
          <w:rFonts w:hint="eastAsia" w:ascii="仿宋" w:hAnsi="仿宋" w:eastAsia="仿宋" w:cs="仿宋"/>
          <w:b/>
          <w:sz w:val="36"/>
          <w:szCs w:val="36"/>
        </w:rPr>
        <w:t>第二部分  投标须知</w:t>
      </w:r>
    </w:p>
    <w:p>
      <w:pPr>
        <w:adjustRightInd w:val="0"/>
        <w:snapToGrid w:val="0"/>
        <w:spacing w:line="460" w:lineRule="exact"/>
        <w:ind w:firstLine="562" w:firstLineChars="200"/>
        <w:rPr>
          <w:rFonts w:ascii="宋体" w:hAnsi="宋体" w:cs="宋体"/>
          <w:b/>
          <w:bCs/>
          <w:sz w:val="28"/>
          <w:szCs w:val="28"/>
        </w:rPr>
      </w:pPr>
      <w:bookmarkStart w:id="1" w:name="_Toc120614214"/>
      <w:bookmarkStart w:id="2" w:name="_Toc513029203"/>
      <w:bookmarkStart w:id="3" w:name="_Toc20823275"/>
      <w:bookmarkStart w:id="4" w:name="_Toc16938519"/>
      <w:r>
        <w:rPr>
          <w:rFonts w:hint="eastAsia" w:ascii="宋体" w:hAnsi="宋体" w:cs="宋体"/>
          <w:b/>
          <w:bCs/>
          <w:sz w:val="28"/>
          <w:szCs w:val="28"/>
        </w:rPr>
        <w:t>一、总则</w:t>
      </w:r>
      <w:bookmarkEnd w:id="1"/>
      <w:bookmarkEnd w:id="2"/>
      <w:bookmarkEnd w:id="3"/>
      <w:bookmarkEnd w:id="4"/>
    </w:p>
    <w:p>
      <w:pPr>
        <w:adjustRightInd w:val="0"/>
        <w:snapToGrid w:val="0"/>
        <w:spacing w:line="460" w:lineRule="exact"/>
        <w:ind w:firstLine="560" w:firstLineChars="200"/>
        <w:rPr>
          <w:rFonts w:ascii="宋体" w:hAnsi="宋体" w:cs="宋体"/>
          <w:sz w:val="28"/>
          <w:szCs w:val="28"/>
        </w:rPr>
      </w:pPr>
      <w:bookmarkStart w:id="5" w:name="_Hlt16619475"/>
      <w:bookmarkEnd w:id="5"/>
      <w:bookmarkStart w:id="6" w:name="_Toc458694821"/>
      <w:bookmarkStart w:id="7" w:name="_Toc20823276"/>
      <w:bookmarkStart w:id="8" w:name="_Toc16938520"/>
      <w:bookmarkStart w:id="9" w:name="_Toc513029204"/>
      <w:r>
        <w:rPr>
          <w:rFonts w:hint="eastAsia" w:ascii="宋体" w:hAnsi="宋体" w:cs="宋体"/>
          <w:sz w:val="28"/>
          <w:szCs w:val="28"/>
        </w:rPr>
        <w:t>1</w:t>
      </w:r>
      <w:bookmarkEnd w:id="6"/>
      <w:r>
        <w:rPr>
          <w:rFonts w:hint="eastAsia" w:ascii="宋体" w:hAnsi="宋体" w:cs="宋体"/>
          <w:sz w:val="28"/>
          <w:szCs w:val="28"/>
        </w:rPr>
        <w:t>.招标方式</w:t>
      </w:r>
      <w:bookmarkEnd w:id="7"/>
      <w:bookmarkEnd w:id="8"/>
      <w:bookmarkEnd w:id="9"/>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 本次招标采取公开招标方式，本招标文件仅适用于招标</w:t>
      </w:r>
      <w:r>
        <w:rPr>
          <w:rFonts w:hint="eastAsia" w:ascii="宋体" w:hAnsi="宋体" w:cs="宋体"/>
          <w:sz w:val="28"/>
          <w:szCs w:val="28"/>
          <w:lang w:eastAsia="zh-CN"/>
        </w:rPr>
        <w:t>通告</w:t>
      </w:r>
      <w:r>
        <w:rPr>
          <w:rFonts w:hint="eastAsia" w:ascii="宋体" w:hAnsi="宋体" w:cs="宋体"/>
          <w:sz w:val="28"/>
          <w:szCs w:val="28"/>
        </w:rPr>
        <w:t>中所述项目。</w:t>
      </w:r>
    </w:p>
    <w:p>
      <w:pPr>
        <w:adjustRightInd w:val="0"/>
        <w:snapToGrid w:val="0"/>
        <w:spacing w:line="460" w:lineRule="exact"/>
        <w:ind w:firstLine="560" w:firstLineChars="200"/>
        <w:rPr>
          <w:rFonts w:ascii="宋体" w:hAnsi="宋体" w:cs="宋体"/>
          <w:sz w:val="28"/>
          <w:szCs w:val="28"/>
        </w:rPr>
      </w:pPr>
      <w:bookmarkStart w:id="10" w:name="_Toc16938521"/>
      <w:bookmarkStart w:id="11" w:name="_Toc20823277"/>
      <w:bookmarkStart w:id="12" w:name="_Toc513029205"/>
      <w:r>
        <w:rPr>
          <w:rFonts w:hint="eastAsia" w:ascii="宋体" w:hAnsi="宋体" w:cs="宋体"/>
          <w:sz w:val="28"/>
          <w:szCs w:val="28"/>
        </w:rPr>
        <w:t>2.合格的投标人</w:t>
      </w:r>
      <w:bookmarkEnd w:id="10"/>
      <w:bookmarkEnd w:id="11"/>
      <w:bookmarkEnd w:id="12"/>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2.1满足招标</w:t>
      </w:r>
      <w:r>
        <w:rPr>
          <w:rFonts w:hint="eastAsia" w:ascii="宋体" w:hAnsi="宋体" w:cs="宋体"/>
          <w:sz w:val="28"/>
          <w:szCs w:val="28"/>
          <w:lang w:eastAsia="zh-CN"/>
        </w:rPr>
        <w:t>通告</w:t>
      </w:r>
      <w:r>
        <w:rPr>
          <w:rFonts w:hint="eastAsia" w:ascii="宋体" w:hAnsi="宋体" w:cs="宋体"/>
          <w:sz w:val="28"/>
          <w:szCs w:val="28"/>
        </w:rPr>
        <w:t>中供应商的资格要求的规定。</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pPr>
        <w:adjustRightInd w:val="0"/>
        <w:snapToGrid w:val="0"/>
        <w:spacing w:line="460" w:lineRule="exact"/>
        <w:ind w:firstLine="560" w:firstLineChars="200"/>
        <w:rPr>
          <w:rFonts w:ascii="宋体" w:hAnsi="宋体" w:cs="宋体"/>
          <w:sz w:val="28"/>
          <w:szCs w:val="28"/>
        </w:rPr>
      </w:pPr>
      <w:bookmarkStart w:id="13" w:name="_Toc513029206"/>
      <w:bookmarkStart w:id="14" w:name="_Toc16938522"/>
      <w:bookmarkStart w:id="15" w:name="_Toc20823278"/>
      <w:r>
        <w:rPr>
          <w:rFonts w:hint="eastAsia" w:ascii="宋体" w:hAnsi="宋体" w:cs="宋体"/>
          <w:sz w:val="28"/>
          <w:szCs w:val="28"/>
        </w:rPr>
        <w:t>3.适用法律</w:t>
      </w:r>
      <w:bookmarkEnd w:id="13"/>
      <w:bookmarkEnd w:id="14"/>
      <w:bookmarkEnd w:id="15"/>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3.1本次招标及由此产生的合同受中华人民共和国有关的法律法规制约和保护。</w:t>
      </w:r>
    </w:p>
    <w:p>
      <w:pPr>
        <w:adjustRightInd w:val="0"/>
        <w:snapToGrid w:val="0"/>
        <w:spacing w:line="460" w:lineRule="exact"/>
        <w:ind w:firstLine="560" w:firstLineChars="200"/>
        <w:rPr>
          <w:rFonts w:ascii="宋体" w:hAnsi="宋体" w:cs="宋体"/>
          <w:sz w:val="28"/>
          <w:szCs w:val="28"/>
        </w:rPr>
      </w:pPr>
      <w:bookmarkStart w:id="16" w:name="_Toc513029207"/>
      <w:bookmarkStart w:id="17" w:name="_Toc462564067"/>
      <w:bookmarkStart w:id="18" w:name="_Toc20823279"/>
      <w:bookmarkStart w:id="19" w:name="_Toc16938523"/>
      <w:r>
        <w:rPr>
          <w:rFonts w:hint="eastAsia" w:ascii="宋体" w:hAnsi="宋体" w:cs="宋体"/>
          <w:sz w:val="28"/>
          <w:szCs w:val="28"/>
        </w:rPr>
        <w:t>4.投标费用</w:t>
      </w:r>
      <w:bookmarkEnd w:id="16"/>
      <w:bookmarkEnd w:id="17"/>
      <w:bookmarkEnd w:id="18"/>
      <w:bookmarkEnd w:id="19"/>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4.1投标人应自行承担所有与参加投标有关的费用，无论投标过程中的做法和结果如何，江苏中润工程建设咨询有限公司（以下简称招标代理机构）在任何情况下均无义务和责任承担这些费用。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4.2本项目招标文件费300元/份，在开标现场支付给代理机构，无论成交与否不予退还。</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4.3本项目代理费按【2011】534号文标准60%计收，不足1500元按1500元收取；供应商报价时应综合考虑（不单列）。</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代理费等费用定标后由中标候选人支付给代理机构。因中标人原因导致中标结果变更或取消中标资格等，代理费不予退还。</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5.招标文件的约束力</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 投标人一旦参加本项目采购活动，即被认为接受了本招标文件的规定和约束。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6.招标文件的解释</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6.1招标文件需求部分（供应商资格要求、项目需求、商务技术评分标准）由招标人解释，其它部分由代理机构解释。</w:t>
      </w:r>
    </w:p>
    <w:p>
      <w:pPr>
        <w:adjustRightInd w:val="0"/>
        <w:snapToGrid w:val="0"/>
        <w:spacing w:line="460" w:lineRule="exact"/>
        <w:ind w:firstLine="562" w:firstLineChars="200"/>
        <w:rPr>
          <w:rFonts w:ascii="宋体" w:hAnsi="宋体" w:cs="宋体"/>
          <w:b/>
          <w:bCs/>
          <w:sz w:val="28"/>
          <w:szCs w:val="28"/>
        </w:rPr>
      </w:pPr>
      <w:bookmarkStart w:id="20" w:name="_Toc20823281"/>
      <w:bookmarkStart w:id="21" w:name="_Toc16938525"/>
      <w:bookmarkStart w:id="22" w:name="_Toc513029209"/>
      <w:bookmarkStart w:id="23" w:name="_Toc120614215"/>
      <w:r>
        <w:rPr>
          <w:rFonts w:hint="eastAsia" w:ascii="宋体" w:hAnsi="宋体" w:cs="宋体"/>
          <w:b/>
          <w:bCs/>
          <w:sz w:val="28"/>
          <w:szCs w:val="28"/>
        </w:rPr>
        <w:t>二、招标文件</w:t>
      </w:r>
      <w:bookmarkEnd w:id="20"/>
      <w:bookmarkEnd w:id="21"/>
      <w:bookmarkEnd w:id="22"/>
      <w:bookmarkEnd w:id="23"/>
    </w:p>
    <w:p>
      <w:pPr>
        <w:adjustRightInd w:val="0"/>
        <w:snapToGrid w:val="0"/>
        <w:spacing w:line="460" w:lineRule="exact"/>
        <w:ind w:firstLine="560" w:firstLineChars="200"/>
        <w:rPr>
          <w:rFonts w:ascii="宋体" w:hAnsi="宋体" w:cs="宋体"/>
          <w:sz w:val="28"/>
          <w:szCs w:val="28"/>
        </w:rPr>
      </w:pPr>
      <w:bookmarkStart w:id="24" w:name="_Toc513029210"/>
      <w:bookmarkStart w:id="25" w:name="_Toc16938526"/>
      <w:bookmarkStart w:id="26" w:name="_Toc20823282"/>
      <w:r>
        <w:rPr>
          <w:rFonts w:hint="eastAsia" w:ascii="宋体" w:hAnsi="宋体" w:cs="宋体"/>
          <w:sz w:val="28"/>
          <w:szCs w:val="28"/>
        </w:rPr>
        <w:t>1.招标文件构成</w:t>
      </w:r>
      <w:bookmarkEnd w:id="24"/>
      <w:bookmarkEnd w:id="25"/>
      <w:bookmarkEnd w:id="26"/>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 招标文件由以下部分组成：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（1）招标邀请</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（2）投标须知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（3）项目需求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（4）开标和评标</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（5）投标文件组成</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（6）附件（如有）</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请仔细检查招标文件是否齐全，如有缺漏请立即与代理机构联系解决。</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djustRightInd w:val="0"/>
        <w:snapToGrid w:val="0"/>
        <w:spacing w:line="460" w:lineRule="exact"/>
        <w:ind w:firstLine="560" w:firstLineChars="200"/>
        <w:rPr>
          <w:rFonts w:ascii="宋体" w:hAnsi="宋体" w:cs="宋体"/>
          <w:sz w:val="28"/>
          <w:szCs w:val="28"/>
        </w:rPr>
      </w:pPr>
      <w:bookmarkStart w:id="27" w:name="_Toc16938527"/>
      <w:bookmarkStart w:id="28" w:name="_Toc20823283"/>
      <w:bookmarkStart w:id="29" w:name="_Toc513029211"/>
      <w:bookmarkStart w:id="30" w:name="_Toc462564070"/>
      <w:r>
        <w:rPr>
          <w:rFonts w:hint="eastAsia" w:ascii="宋体" w:hAnsi="宋体" w:cs="宋体"/>
          <w:sz w:val="28"/>
          <w:szCs w:val="28"/>
        </w:rPr>
        <w:t>2.招标文件的澄清</w:t>
      </w:r>
      <w:bookmarkEnd w:id="27"/>
      <w:bookmarkEnd w:id="28"/>
      <w:bookmarkEnd w:id="29"/>
      <w:bookmarkEnd w:id="30"/>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 任何要求对招标文件进行澄清的投标人，应在投标截止期十日前按招标</w:t>
      </w:r>
      <w:r>
        <w:rPr>
          <w:rFonts w:hint="eastAsia" w:ascii="宋体" w:hAnsi="宋体" w:cs="宋体"/>
          <w:sz w:val="28"/>
          <w:szCs w:val="28"/>
          <w:lang w:eastAsia="zh-CN"/>
        </w:rPr>
        <w:t>通告</w:t>
      </w:r>
      <w:r>
        <w:rPr>
          <w:rFonts w:hint="eastAsia" w:ascii="宋体" w:hAnsi="宋体" w:cs="宋体"/>
          <w:sz w:val="28"/>
          <w:szCs w:val="28"/>
        </w:rPr>
        <w:t>中的通讯地址，以书面形式通知招标人。招标人有权对发出的招标文件进行必要的澄清或修改</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2.2招标人视情组织答疑会</w:t>
      </w:r>
    </w:p>
    <w:p>
      <w:pPr>
        <w:adjustRightInd w:val="0"/>
        <w:snapToGrid w:val="0"/>
        <w:spacing w:line="460" w:lineRule="exact"/>
        <w:ind w:firstLine="560" w:firstLineChars="200"/>
        <w:rPr>
          <w:rFonts w:ascii="宋体" w:hAnsi="宋体" w:cs="宋体"/>
          <w:sz w:val="28"/>
          <w:szCs w:val="28"/>
        </w:rPr>
      </w:pPr>
      <w:bookmarkStart w:id="31" w:name="_Toc16938528"/>
      <w:bookmarkStart w:id="32" w:name="_Toc462564071"/>
      <w:bookmarkStart w:id="33" w:name="_Toc20823284"/>
      <w:bookmarkStart w:id="34" w:name="_Toc513029212"/>
      <w:r>
        <w:rPr>
          <w:rFonts w:hint="eastAsia" w:ascii="宋体" w:hAnsi="宋体" w:cs="宋体"/>
          <w:sz w:val="28"/>
          <w:szCs w:val="28"/>
        </w:rPr>
        <w:t>3.招标文件的修改</w:t>
      </w:r>
      <w:bookmarkEnd w:id="31"/>
      <w:bookmarkEnd w:id="32"/>
      <w:bookmarkEnd w:id="33"/>
      <w:bookmarkEnd w:id="34"/>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 在投标截止时间前，代理机构可以对招标文件进行修改。</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3.2 代理机构有权按照法定的要求推迟投标截止日期和开标日期。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3.3 招标文件的修改将在江苏省招标投标公共服务平台公布，补充文件将作为招标文件的组成部分，并对投标人具有约束力。</w:t>
      </w:r>
    </w:p>
    <w:p>
      <w:pPr>
        <w:adjustRightInd w:val="0"/>
        <w:snapToGrid w:val="0"/>
        <w:spacing w:line="460" w:lineRule="exact"/>
        <w:ind w:firstLine="562" w:firstLineChars="200"/>
        <w:rPr>
          <w:rFonts w:ascii="宋体" w:hAnsi="宋体" w:cs="宋体"/>
          <w:b/>
          <w:bCs/>
          <w:sz w:val="28"/>
          <w:szCs w:val="28"/>
        </w:rPr>
      </w:pPr>
      <w:bookmarkStart w:id="35" w:name="_Toc120614216"/>
      <w:bookmarkStart w:id="36" w:name="_Toc16938529"/>
      <w:bookmarkStart w:id="37" w:name="_Toc513029213"/>
      <w:bookmarkStart w:id="38" w:name="_Toc462564072"/>
      <w:bookmarkStart w:id="39" w:name="_Toc20823285"/>
      <w:r>
        <w:rPr>
          <w:rFonts w:hint="eastAsia" w:ascii="宋体" w:hAnsi="宋体" w:cs="宋体"/>
          <w:b/>
          <w:bCs/>
          <w:sz w:val="28"/>
          <w:szCs w:val="28"/>
        </w:rPr>
        <w:t>三、投标文件的编制</w:t>
      </w:r>
      <w:bookmarkEnd w:id="35"/>
      <w:bookmarkEnd w:id="36"/>
      <w:bookmarkEnd w:id="37"/>
      <w:bookmarkEnd w:id="38"/>
      <w:bookmarkEnd w:id="39"/>
    </w:p>
    <w:p>
      <w:pPr>
        <w:adjustRightInd w:val="0"/>
        <w:snapToGrid w:val="0"/>
        <w:spacing w:line="460" w:lineRule="exact"/>
        <w:ind w:firstLine="560" w:firstLineChars="200"/>
        <w:rPr>
          <w:rFonts w:ascii="宋体" w:hAnsi="宋体" w:cs="宋体"/>
          <w:sz w:val="28"/>
          <w:szCs w:val="28"/>
        </w:rPr>
      </w:pPr>
      <w:bookmarkStart w:id="40" w:name="_Toc16938530"/>
      <w:bookmarkStart w:id="41" w:name="_Toc20823286"/>
      <w:bookmarkStart w:id="42" w:name="_Toc513029214"/>
      <w:bookmarkStart w:id="43" w:name="_Toc462564073"/>
      <w:r>
        <w:rPr>
          <w:rFonts w:hint="eastAsia" w:ascii="宋体" w:hAnsi="宋体" w:cs="宋体"/>
          <w:sz w:val="28"/>
          <w:szCs w:val="28"/>
        </w:rPr>
        <w:t>1.投标文件的语言及度量衡单位</w:t>
      </w:r>
      <w:bookmarkEnd w:id="40"/>
      <w:bookmarkEnd w:id="41"/>
      <w:bookmarkEnd w:id="42"/>
      <w:bookmarkEnd w:id="43"/>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 投标人提交的投标文件以及投标人与代理机构就有关投标的所有来往通知、函件和文件均应使用简体中文。</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 除技术性能另有规定外，投标文件所使用的度量衡单位，均须采用国家法定计量单位。</w:t>
      </w:r>
    </w:p>
    <w:p>
      <w:pPr>
        <w:adjustRightInd w:val="0"/>
        <w:snapToGrid w:val="0"/>
        <w:spacing w:line="460" w:lineRule="exact"/>
        <w:ind w:firstLine="560" w:firstLineChars="200"/>
        <w:rPr>
          <w:rFonts w:ascii="宋体" w:hAnsi="宋体" w:cs="宋体"/>
          <w:sz w:val="28"/>
          <w:szCs w:val="28"/>
        </w:rPr>
      </w:pPr>
      <w:bookmarkStart w:id="44" w:name="_Toc462564074"/>
      <w:bookmarkStart w:id="45" w:name="_Toc16938531"/>
      <w:bookmarkStart w:id="46" w:name="_Toc20823287"/>
      <w:bookmarkStart w:id="47" w:name="_Toc513029215"/>
      <w:r>
        <w:rPr>
          <w:rFonts w:hint="eastAsia" w:ascii="宋体" w:hAnsi="宋体" w:cs="宋体"/>
          <w:sz w:val="28"/>
          <w:szCs w:val="28"/>
        </w:rPr>
        <w:t>2.投标文件构成</w:t>
      </w:r>
      <w:bookmarkEnd w:id="44"/>
      <w:bookmarkEnd w:id="45"/>
      <w:bookmarkEnd w:id="46"/>
      <w:bookmarkEnd w:id="47"/>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 投标人编写的投标文件应包括资格审查证明材料文件、商务技术响应文件、价格文件。供应商按“第五部分 投标文件组成”要求编写投标文件</w:t>
      </w:r>
    </w:p>
    <w:p>
      <w:pPr>
        <w:adjustRightInd w:val="0"/>
        <w:snapToGrid w:val="0"/>
        <w:spacing w:line="460" w:lineRule="exact"/>
        <w:ind w:firstLine="560" w:firstLineChars="200"/>
        <w:rPr>
          <w:rFonts w:ascii="宋体" w:hAnsi="宋体" w:cs="宋体"/>
          <w:sz w:val="28"/>
          <w:szCs w:val="28"/>
        </w:rPr>
      </w:pPr>
      <w:bookmarkStart w:id="48" w:name="_Hlt26670360"/>
      <w:bookmarkEnd w:id="48"/>
      <w:bookmarkStart w:id="49" w:name="_Hlt26954838"/>
      <w:bookmarkEnd w:id="49"/>
      <w:bookmarkStart w:id="50" w:name="_Hlt26668975"/>
      <w:bookmarkEnd w:id="50"/>
      <w:bookmarkStart w:id="51" w:name="_Toc14577360"/>
      <w:bookmarkStart w:id="52" w:name="_Toc49090511"/>
      <w:r>
        <w:rPr>
          <w:rFonts w:hint="eastAsia" w:ascii="宋体" w:hAnsi="宋体" w:cs="宋体"/>
          <w:sz w:val="28"/>
          <w:szCs w:val="28"/>
        </w:rPr>
        <w:t>3.投标有效期</w:t>
      </w:r>
      <w:bookmarkEnd w:id="51"/>
      <w:bookmarkEnd w:id="52"/>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3.1投标有效期为代理机构规定的开标之日后六十（60）天。投标有效期比规定短的将被视为非响应性投标而予以拒绝。</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4.投标有效期的延长</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5.投标人资格要求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5.1投标人应具备承担本项目的资格要求。</w:t>
      </w:r>
    </w:p>
    <w:p>
      <w:pPr>
        <w:adjustRightInd w:val="0"/>
        <w:snapToGrid w:val="0"/>
        <w:spacing w:line="460" w:lineRule="exact"/>
        <w:ind w:firstLine="562" w:firstLineChars="200"/>
        <w:rPr>
          <w:rFonts w:ascii="宋体" w:hAnsi="宋体" w:cs="宋体"/>
          <w:b/>
          <w:bCs/>
          <w:sz w:val="28"/>
          <w:szCs w:val="28"/>
        </w:rPr>
      </w:pPr>
      <w:bookmarkStart w:id="53" w:name="_Hlt26954739"/>
      <w:bookmarkEnd w:id="53"/>
      <w:bookmarkStart w:id="54" w:name="_Hlt26954852"/>
      <w:bookmarkEnd w:id="54"/>
      <w:bookmarkStart w:id="55" w:name="_Toc513029224"/>
      <w:bookmarkStart w:id="56" w:name="_Toc16938540"/>
      <w:bookmarkStart w:id="57" w:name="_Toc20823296"/>
      <w:bookmarkStart w:id="58" w:name="_Toc120614217"/>
      <w:r>
        <w:rPr>
          <w:rFonts w:hint="eastAsia" w:ascii="宋体" w:hAnsi="宋体" w:cs="宋体"/>
          <w:b/>
          <w:bCs/>
          <w:sz w:val="28"/>
          <w:szCs w:val="28"/>
        </w:rPr>
        <w:t>四、投标文件的递交</w:t>
      </w:r>
      <w:bookmarkEnd w:id="55"/>
      <w:bookmarkEnd w:id="56"/>
      <w:bookmarkEnd w:id="57"/>
      <w:bookmarkEnd w:id="58"/>
    </w:p>
    <w:p>
      <w:pPr>
        <w:adjustRightInd w:val="0"/>
        <w:snapToGrid w:val="0"/>
        <w:spacing w:line="460" w:lineRule="exact"/>
        <w:ind w:firstLine="560" w:firstLineChars="200"/>
        <w:rPr>
          <w:rFonts w:ascii="宋体" w:hAnsi="宋体" w:cs="宋体"/>
          <w:sz w:val="28"/>
          <w:szCs w:val="28"/>
        </w:rPr>
      </w:pPr>
      <w:bookmarkStart w:id="59" w:name="_Toc513029225"/>
      <w:bookmarkStart w:id="60" w:name="_Toc20823297"/>
      <w:bookmarkStart w:id="61" w:name="_Toc462564084"/>
      <w:bookmarkStart w:id="62" w:name="_Toc16938541"/>
      <w:bookmarkStart w:id="63" w:name="_Toc16938542"/>
      <w:bookmarkStart w:id="64" w:name="_Toc513029226"/>
      <w:bookmarkStart w:id="65" w:name="_Toc20823298"/>
      <w:r>
        <w:rPr>
          <w:rFonts w:hint="eastAsia" w:ascii="宋体" w:hAnsi="宋体" w:cs="宋体"/>
          <w:sz w:val="28"/>
          <w:szCs w:val="28"/>
        </w:rPr>
        <w:t>1.投标文件</w:t>
      </w:r>
      <w:bookmarkEnd w:id="59"/>
      <w:bookmarkEnd w:id="60"/>
      <w:bookmarkEnd w:id="61"/>
      <w:bookmarkEnd w:id="62"/>
      <w:r>
        <w:rPr>
          <w:rFonts w:hint="eastAsia" w:ascii="宋体" w:hAnsi="宋体" w:cs="宋体"/>
          <w:sz w:val="28"/>
          <w:szCs w:val="28"/>
        </w:rPr>
        <w:t>的递交</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1.1投标文件四部分内容（</w:t>
      </w:r>
      <w:r>
        <w:rPr>
          <w:rFonts w:ascii="宋体" w:hAnsi="宋体" w:cs="宋体"/>
          <w:sz w:val="28"/>
          <w:szCs w:val="28"/>
        </w:rPr>
        <w:t>资格审查文件、</w:t>
      </w:r>
      <w:r>
        <w:rPr>
          <w:rFonts w:hint="eastAsia" w:ascii="宋体" w:hAnsi="宋体" w:cs="宋体"/>
          <w:sz w:val="28"/>
          <w:szCs w:val="28"/>
        </w:rPr>
        <w:t>商务技术响应文件</w:t>
      </w:r>
      <w:r>
        <w:rPr>
          <w:rFonts w:ascii="宋体" w:hAnsi="宋体" w:cs="宋体"/>
          <w:sz w:val="28"/>
          <w:szCs w:val="28"/>
        </w:rPr>
        <w:t>、</w:t>
      </w:r>
      <w:r>
        <w:rPr>
          <w:rFonts w:hint="eastAsia" w:ascii="宋体" w:hAnsi="宋体" w:cs="宋体"/>
          <w:sz w:val="28"/>
          <w:szCs w:val="28"/>
        </w:rPr>
        <w:t>价格文件</w:t>
      </w:r>
      <w:r>
        <w:rPr>
          <w:rFonts w:ascii="宋体" w:hAnsi="宋体" w:cs="宋体"/>
          <w:sz w:val="28"/>
          <w:szCs w:val="28"/>
        </w:rPr>
        <w:t>、电子响应文件</w:t>
      </w:r>
      <w:r>
        <w:rPr>
          <w:rFonts w:hint="eastAsia" w:ascii="宋体" w:hAnsi="宋体" w:cs="宋体"/>
          <w:sz w:val="28"/>
          <w:szCs w:val="28"/>
        </w:rPr>
        <w:t>）须分别单独密封，</w:t>
      </w:r>
      <w:r>
        <w:rPr>
          <w:rFonts w:hint="eastAsia" w:ascii="宋体" w:hAnsi="宋体" w:cs="宋体"/>
          <w:sz w:val="28"/>
          <w:szCs w:val="28"/>
          <w:lang w:val="zh-CN"/>
        </w:rPr>
        <w:t>并牢</w:t>
      </w:r>
      <w:r>
        <w:rPr>
          <w:rFonts w:hint="eastAsia" w:ascii="宋体" w:hAnsi="宋体" w:cs="宋体"/>
          <w:sz w:val="28"/>
          <w:szCs w:val="28"/>
        </w:rPr>
        <w:t>固装订成册，不得相互混淆，文件自编目录并连续标注页码，不得将内容拆开。价格文件不得出现于其他投标文件中。</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纸质响应文件每一部分内容均须提供“一正、一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1.3纸质响应文件须采用A4纸（图纸等除外），正、副本须打印并由法定代表人或授权人签字或盖章并加盖投标单位公章。文件内容中不得行间插字、涂改、增删，如修补错漏处，须由响应文件签署人签字并加盖公章。</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1.4响应文件密封后应标明响应文件项目名称、项目编号、投标文件内容、边缝处加盖单位骑缝章或骑缝签字，并注明于开标前不得启封。密封完好标准以未泄露响应文件内容为主要判断依据。</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1.5</w:t>
      </w:r>
      <w:r>
        <w:rPr>
          <w:rFonts w:ascii="宋体" w:hAnsi="宋体" w:cs="宋体"/>
          <w:b/>
          <w:bCs/>
          <w:sz w:val="28"/>
          <w:szCs w:val="28"/>
        </w:rPr>
        <w:t>▲本项目要求提供电子响应文件一份，电子响应文件的内容为资格审查文件、商务技术响应文件、价格文件打印盖章后的响应文件的扫描件（资格审查文件、商务技术响应文件、价格文件需分别逐页连续扫描为三个独立的PDF文件），可以采取U盘、电子光盘两种方式中任意一种方式提交，需单独密封提交。</w:t>
      </w:r>
    </w:p>
    <w:p>
      <w:pPr>
        <w:adjustRightInd w:val="0"/>
        <w:snapToGrid w:val="0"/>
        <w:spacing w:line="460" w:lineRule="exact"/>
        <w:ind w:firstLine="562" w:firstLineChars="200"/>
        <w:rPr>
          <w:rFonts w:ascii="宋体" w:hAnsi="宋体" w:cs="宋体"/>
          <w:b/>
          <w:bCs/>
          <w:sz w:val="28"/>
          <w:szCs w:val="28"/>
        </w:rPr>
      </w:pPr>
      <w:r>
        <w:rPr>
          <w:rFonts w:ascii="宋体" w:hAnsi="宋体" w:cs="宋体"/>
          <w:b/>
          <w:bCs/>
          <w:sz w:val="28"/>
          <w:szCs w:val="28"/>
        </w:rPr>
        <w:t>电子响应文件内容应与提交发纸质响应文件内容一致。否则，由此产生的后果投标人自负。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1.6递交时间：供应商须在规定的响应文件接收截止时间前送达指定地点。供应商提交投标文件，即视为已响应参加采购活动。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友情提醒：代理机构拒绝接收在响应文件接收截止时间后递交的响应文件。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2.投标截止日期</w:t>
      </w:r>
      <w:bookmarkEnd w:id="63"/>
      <w:bookmarkEnd w:id="64"/>
      <w:bookmarkEnd w:id="65"/>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 供应商提交响应文件的时间不得迟于招标</w:t>
      </w:r>
      <w:r>
        <w:rPr>
          <w:rFonts w:hint="eastAsia" w:ascii="宋体" w:hAnsi="宋体" w:cs="宋体"/>
          <w:sz w:val="28"/>
          <w:szCs w:val="28"/>
          <w:lang w:eastAsia="zh-CN"/>
        </w:rPr>
        <w:t>通告</w:t>
      </w:r>
      <w:r>
        <w:rPr>
          <w:rFonts w:hint="eastAsia" w:ascii="宋体" w:hAnsi="宋体" w:cs="宋体"/>
          <w:sz w:val="28"/>
          <w:szCs w:val="28"/>
        </w:rPr>
        <w:t>中规定的响应文件提交截止时间。</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供应商应充分考虑到交通路况、停车、疫情管控等风险因素，如因供应商自身原因造成的投标响应文件提交不成功由供应商自行承担全部责任。</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2.2代理机构可以按照规定，通过修改招标文件酌情延长投标截止日期，在此情况下，投标人的所有权利和义务以及投标人受制的截止日期均应以延长后新的截止日期为准。</w:t>
      </w:r>
    </w:p>
    <w:p>
      <w:pPr>
        <w:adjustRightInd w:val="0"/>
        <w:snapToGrid w:val="0"/>
        <w:spacing w:line="460" w:lineRule="exact"/>
        <w:ind w:firstLine="560" w:firstLineChars="200"/>
        <w:rPr>
          <w:rFonts w:ascii="宋体" w:hAnsi="宋体" w:cs="宋体"/>
          <w:sz w:val="28"/>
          <w:szCs w:val="28"/>
        </w:rPr>
      </w:pPr>
      <w:bookmarkStart w:id="66" w:name="_Toc20823299"/>
      <w:bookmarkStart w:id="67" w:name="_Toc513029227"/>
      <w:bookmarkStart w:id="68" w:name="_Toc16938543"/>
      <w:r>
        <w:rPr>
          <w:rFonts w:hint="eastAsia" w:ascii="宋体" w:hAnsi="宋体" w:cs="宋体"/>
          <w:sz w:val="28"/>
          <w:szCs w:val="28"/>
        </w:rPr>
        <w:t>3.投标文件</w:t>
      </w:r>
      <w:bookmarkEnd w:id="66"/>
      <w:bookmarkEnd w:id="67"/>
      <w:bookmarkEnd w:id="68"/>
      <w:r>
        <w:rPr>
          <w:rFonts w:hint="eastAsia" w:ascii="宋体" w:hAnsi="宋体" w:cs="宋体"/>
          <w:sz w:val="28"/>
          <w:szCs w:val="28"/>
        </w:rPr>
        <w:t>的拒收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 代理机构拒绝接收在其规定的投标截止时间后提交的任何投标文件。</w:t>
      </w:r>
    </w:p>
    <w:p>
      <w:pPr>
        <w:adjustRightInd w:val="0"/>
        <w:snapToGrid w:val="0"/>
        <w:spacing w:line="460" w:lineRule="exact"/>
        <w:ind w:firstLine="560" w:firstLineChars="200"/>
        <w:rPr>
          <w:rFonts w:ascii="宋体" w:hAnsi="宋体" w:cs="宋体"/>
          <w:sz w:val="28"/>
          <w:szCs w:val="28"/>
        </w:rPr>
      </w:pPr>
      <w:bookmarkStart w:id="69" w:name="_Toc20823300"/>
      <w:bookmarkStart w:id="70" w:name="_Toc513029228"/>
      <w:bookmarkStart w:id="71" w:name="_Toc16938544"/>
      <w:r>
        <w:rPr>
          <w:rFonts w:hint="eastAsia" w:ascii="宋体" w:hAnsi="宋体" w:cs="宋体"/>
          <w:sz w:val="28"/>
          <w:szCs w:val="28"/>
        </w:rPr>
        <w:t>4.投标文件的撤回和修改</w:t>
      </w:r>
      <w:bookmarkEnd w:id="69"/>
      <w:bookmarkEnd w:id="70"/>
      <w:bookmarkEnd w:id="71"/>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 响应文件的撤回</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4.1.1供应商可在响应文件提交截止时间前，书面撤回其投标响应文件。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4.1.2 投标人撤回投标文件，则认为其不再参与本项目投标活动。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 投标文件的修改</w:t>
      </w:r>
    </w:p>
    <w:p>
      <w:pPr>
        <w:adjustRightInd w:val="0"/>
        <w:snapToGrid w:val="0"/>
        <w:spacing w:line="460" w:lineRule="exact"/>
        <w:ind w:firstLine="560" w:firstLineChars="200"/>
        <w:rPr>
          <w:rFonts w:ascii="宋体" w:hAnsi="宋体" w:cs="宋体"/>
          <w:sz w:val="28"/>
          <w:szCs w:val="28"/>
        </w:rPr>
      </w:pPr>
      <w:bookmarkStart w:id="72" w:name="_Toc16938545"/>
      <w:bookmarkStart w:id="73" w:name="_Toc120614218"/>
      <w:bookmarkStart w:id="74" w:name="_Toc513029229"/>
      <w:bookmarkStart w:id="75" w:name="_Toc20823301"/>
      <w:r>
        <w:rPr>
          <w:rFonts w:hint="eastAsia" w:ascii="宋体" w:hAnsi="宋体" w:cs="宋体"/>
          <w:sz w:val="28"/>
          <w:szCs w:val="28"/>
        </w:rPr>
        <w:t>在响应文件提交截止时间之后，供应商不得再对其提交的响应文件进行修改。</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五、开标与评标</w:t>
      </w:r>
      <w:bookmarkEnd w:id="72"/>
      <w:bookmarkEnd w:id="73"/>
      <w:bookmarkEnd w:id="74"/>
      <w:bookmarkEnd w:id="75"/>
    </w:p>
    <w:p>
      <w:pPr>
        <w:adjustRightInd w:val="0"/>
        <w:snapToGrid w:val="0"/>
        <w:spacing w:line="460" w:lineRule="exact"/>
        <w:ind w:firstLine="560" w:firstLineChars="200"/>
        <w:rPr>
          <w:rFonts w:ascii="宋体" w:hAnsi="宋体" w:cs="宋体"/>
          <w:sz w:val="28"/>
          <w:szCs w:val="28"/>
        </w:rPr>
      </w:pPr>
      <w:bookmarkStart w:id="76" w:name="_Toc16938546"/>
      <w:bookmarkStart w:id="77" w:name="_Toc20823302"/>
      <w:bookmarkStart w:id="78" w:name="_Toc513029230"/>
      <w:r>
        <w:rPr>
          <w:rFonts w:hint="eastAsia" w:ascii="宋体" w:hAnsi="宋体" w:cs="宋体"/>
          <w:sz w:val="28"/>
          <w:szCs w:val="28"/>
        </w:rPr>
        <w:t>1开标</w:t>
      </w:r>
      <w:bookmarkEnd w:id="76"/>
      <w:bookmarkEnd w:id="77"/>
      <w:bookmarkEnd w:id="78"/>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1.1 代理机构将在招标</w:t>
      </w:r>
      <w:r>
        <w:rPr>
          <w:rFonts w:hint="eastAsia" w:ascii="宋体" w:hAnsi="宋体" w:cs="宋体"/>
          <w:sz w:val="28"/>
          <w:szCs w:val="28"/>
          <w:lang w:eastAsia="zh-CN"/>
        </w:rPr>
        <w:t>通告</w:t>
      </w:r>
      <w:r>
        <w:rPr>
          <w:rFonts w:hint="eastAsia" w:ascii="宋体" w:hAnsi="宋体" w:cs="宋体"/>
          <w:sz w:val="28"/>
          <w:szCs w:val="28"/>
        </w:rPr>
        <w:t>中规定的时间和地点组织公开开标。投标人应当按时在指定地点参加开标活动。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1.2开标仪式由代理机构组织。</w:t>
      </w:r>
    </w:p>
    <w:p>
      <w:pPr>
        <w:adjustRightInd w:val="0"/>
        <w:snapToGrid w:val="0"/>
        <w:spacing w:line="460" w:lineRule="exact"/>
        <w:ind w:firstLine="560" w:firstLineChars="200"/>
        <w:rPr>
          <w:rFonts w:ascii="宋体" w:hAnsi="宋体" w:cs="宋体"/>
          <w:sz w:val="28"/>
          <w:szCs w:val="28"/>
        </w:rPr>
      </w:pPr>
      <w:bookmarkStart w:id="79" w:name="_Toc20823303"/>
      <w:bookmarkStart w:id="80" w:name="_Toc16938547"/>
      <w:bookmarkStart w:id="81" w:name="_Toc513029231"/>
      <w:r>
        <w:rPr>
          <w:rFonts w:hint="eastAsia" w:ascii="宋体" w:hAnsi="宋体" w:cs="宋体"/>
          <w:sz w:val="28"/>
          <w:szCs w:val="28"/>
        </w:rPr>
        <w:t>2评标委员会</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2.1开标后，代理机构将立即组织评标委员会（以下简称评委会）进行评标。</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 评委会由招标人代表和有关技术、经济等方面的专家组成，且人员构成符合政府采购有关规定。</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2.3评委会独立工作，负责评审所有投标文件并确定中标侯选人。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3.评标过程的保密与公正</w:t>
      </w:r>
    </w:p>
    <w:bookmarkEnd w:id="79"/>
    <w:bookmarkEnd w:id="80"/>
    <w:bookmarkEnd w:id="81"/>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3.1公开开标后，直至向中标的投标人授予合同时止，凡是与审查、澄清、评价和比较投标的有关资料以及授标建议等，招标人、评委、代理机构均不得向投标人或与评标无关的其他人员透露。</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3.2在评标过程中，投标人不得以任何行为影响评标过程，否则其投标文件将被作为无效投标文件。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3.3在评标期间，代理机构将设专门人员与投标人联系。</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3.4 代理机构和评标委员会不向未中标的投标人解释未中标原因，也不公布评标过程中的相关细节。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3.5 采用综合评分法的项目，公布评标结果时一并公布所有投标人的评审得分及排序情况。</w:t>
      </w:r>
    </w:p>
    <w:p>
      <w:pPr>
        <w:adjustRightInd w:val="0"/>
        <w:snapToGrid w:val="0"/>
        <w:spacing w:line="460" w:lineRule="exact"/>
        <w:ind w:firstLine="560" w:firstLineChars="200"/>
        <w:rPr>
          <w:rFonts w:ascii="宋体" w:hAnsi="宋体" w:cs="宋体"/>
          <w:sz w:val="28"/>
          <w:szCs w:val="28"/>
        </w:rPr>
      </w:pPr>
      <w:bookmarkStart w:id="82" w:name="_Toc20823304"/>
      <w:bookmarkStart w:id="83" w:name="_Toc16938548"/>
      <w:bookmarkStart w:id="84" w:name="_Toc513029232"/>
      <w:r>
        <w:rPr>
          <w:rFonts w:hint="eastAsia" w:ascii="宋体" w:hAnsi="宋体" w:cs="宋体"/>
          <w:sz w:val="28"/>
          <w:szCs w:val="28"/>
        </w:rPr>
        <w:t>4.投标的澄清</w:t>
      </w:r>
      <w:bookmarkEnd w:id="82"/>
      <w:bookmarkEnd w:id="83"/>
      <w:bookmarkEnd w:id="84"/>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4.1评标期间，为有助于对投标文件的审查、评价和比较，评委会有权要求投标人对其投标文件进行澄清，但并非对每个投标人都作澄清要求。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4.2接到评委会澄清要求的投标人应按评委会规定的时间和格式做出澄清，澄清的内容作为投标文件的补充部分，但投标的价格和实质性的内容不得做任何更改。</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4.3 接到评委会澄清要求的投标人如未按规定做出澄清，其风险由投标人自行承担。</w:t>
      </w:r>
    </w:p>
    <w:p>
      <w:pPr>
        <w:adjustRightInd w:val="0"/>
        <w:snapToGrid w:val="0"/>
        <w:spacing w:line="460" w:lineRule="exact"/>
        <w:ind w:firstLine="560" w:firstLineChars="200"/>
        <w:rPr>
          <w:rFonts w:ascii="宋体" w:hAnsi="宋体" w:cs="宋体"/>
          <w:sz w:val="28"/>
          <w:szCs w:val="28"/>
        </w:rPr>
      </w:pPr>
      <w:bookmarkStart w:id="85" w:name="_Toc16938549"/>
      <w:bookmarkStart w:id="86" w:name="_Toc513029233"/>
      <w:bookmarkStart w:id="87" w:name="_Toc20823305"/>
      <w:r>
        <w:rPr>
          <w:rFonts w:hint="eastAsia" w:ascii="宋体" w:hAnsi="宋体" w:cs="宋体"/>
          <w:sz w:val="28"/>
          <w:szCs w:val="28"/>
        </w:rPr>
        <w:t>5对投标文件的初审</w:t>
      </w:r>
      <w:bookmarkEnd w:id="85"/>
      <w:bookmarkEnd w:id="86"/>
      <w:bookmarkEnd w:id="87"/>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5.1投标文件初审分为资格审查和符合性审查。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5.1.1 资格审查：依据法律法规和招标文件的规定，由招标人对投标文件中的资格证明文件进行审查。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5.1.2 符合性审查：依据招标文件的规定，由评委会从投标文件的有效性、完整性和对招标文件的响应程度进行审查，以确定是否对招标文件的实质性要求作出响应。</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5.1.3 未通过资格审查或符合性审查的投标人，代理机构将告知未通过资格审查或符合性审查的原因。</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5.2在详细评标之前，评委会将首先审查每份投标文件是否实质性响应了招标文件的要求。实质性响应的投标应该是与招标文件要求的全部条款、条件和规格相符，没有重大偏离或保留的投标。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5.3如果投标文件实质上没有响应招标文件的要求，评委会将予以拒绝，投标人不得通过修改或撤销不合要求的偏离或保留而使其投标成为实质性响应的投标。</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5.4评委会将对确定为实质性响应的投标进行进一步审核，看其是否有计算上或累加上的算术错误，修正错误的原则如下：</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（1）投标文件中开标一览表内容与投标文件中相应内容不一致的，以开标一览表为准。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（2）大写金额和小写金额不一致的，以大写金额为准。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（3）单价金额小数点或者百分比有明显错位的，以开标一览表的总价为准，并修改单价。</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（4）总价金额与按单价汇总金额不一致的，以单价金额计算结果为准。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同时出现两种以上错误的，按照前款规定的顺序修正。</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5.5评委会将按上述修正错误的方法调整投标文件中的投标报价，并告知投标人，调整后的价格应对投标人具有约束力。如果投标人不接受修正后的价格，则其投标将被拒绝。</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5.6评委会将允许修正投标文件中不构成重大偏离的、微小的、非正规的、不一致的或不规则的地方，但这些修改不能影响任何投标人相应的名次排列。</w:t>
      </w:r>
    </w:p>
    <w:p>
      <w:pPr>
        <w:adjustRightInd w:val="0"/>
        <w:snapToGrid w:val="0"/>
        <w:spacing w:line="460" w:lineRule="exact"/>
        <w:ind w:firstLine="560" w:firstLineChars="200"/>
        <w:rPr>
          <w:rFonts w:ascii="宋体" w:hAnsi="宋体" w:cs="宋体"/>
          <w:sz w:val="28"/>
          <w:szCs w:val="28"/>
        </w:rPr>
      </w:pPr>
      <w:bookmarkStart w:id="88" w:name="_Toc20823306"/>
      <w:bookmarkStart w:id="89" w:name="_Toc16938550"/>
      <w:bookmarkStart w:id="90" w:name="_Toc513029234"/>
      <w:r>
        <w:rPr>
          <w:rFonts w:hint="eastAsia" w:ascii="宋体" w:hAnsi="宋体" w:cs="宋体"/>
          <w:sz w:val="28"/>
          <w:szCs w:val="28"/>
        </w:rPr>
        <w:t>5.7投标人在开、评标全过程中应保持通讯畅通，并安排专人与代理机构及评标委员会联系。</w:t>
      </w:r>
    </w:p>
    <w:bookmarkEnd w:id="88"/>
    <w:bookmarkEnd w:id="89"/>
    <w:bookmarkEnd w:id="90"/>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6.无效投标条款和废标条款</w:t>
      </w:r>
    </w:p>
    <w:p>
      <w:pPr>
        <w:adjustRightInd w:val="0"/>
        <w:snapToGrid w:val="0"/>
        <w:spacing w:line="460" w:lineRule="exact"/>
        <w:ind w:firstLine="560" w:firstLineChars="200"/>
        <w:rPr>
          <w:rFonts w:ascii="宋体" w:hAnsi="宋体" w:cs="宋体"/>
          <w:sz w:val="28"/>
          <w:szCs w:val="28"/>
        </w:rPr>
      </w:pPr>
      <w:bookmarkStart w:id="91" w:name="_Toc16938551"/>
      <w:bookmarkStart w:id="92" w:name="_Toc513029235"/>
      <w:bookmarkStart w:id="93" w:name="_Toc20823307"/>
      <w:r>
        <w:rPr>
          <w:rFonts w:hint="eastAsia" w:ascii="宋体" w:hAnsi="宋体" w:cs="宋体"/>
          <w:sz w:val="28"/>
          <w:szCs w:val="28"/>
        </w:rPr>
        <w:t>6.1出现下列情形之一的，作无效响应处理。</w:t>
      </w:r>
      <w:r>
        <w:rPr>
          <w:rFonts w:hint="eastAsia" w:ascii="宋体" w:hAnsi="宋体" w:cs="宋体"/>
          <w:sz w:val="28"/>
          <w:szCs w:val="28"/>
        </w:rPr>
        <w:tab/>
      </w:r>
      <w:r>
        <w:rPr>
          <w:rFonts w:hint="eastAsia" w:ascii="宋体" w:hAnsi="宋体" w:cs="宋体"/>
          <w:sz w:val="28"/>
          <w:szCs w:val="28"/>
        </w:rPr>
        <w:tab/>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6.1.1供应商在规定的时间内未成功提交响应文件的。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6.1.2未完整提交响应文件的。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6.1.3同一投标人提交两个（含两个）以上不同的响应报价的。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 xml:space="preserve">6.1.4不具备招标文件中规定的资格要求的。 </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 xml:space="preserve">6.1.5响应报价超过了采购预算或最高限价的。 </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6.1.6未通过符合性检查的。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6.1.7不符合法律、法规和招标文件中规定的其他实质性要求的。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6.1.8供应商被 “信用中国”网站（www.creditchina.gov.cn）列入失信被执行人或重大税收违法案件当事人名单或采购严重失信行为记录名单，或查询“信用中国”网站后发现供应商存在其他不符合合格投标人资格条件的信用记录。</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6.1.9 响应文件含有招标人不能接受的附加条件的。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6.1.10评标小组认为投标人的报价明显低于其他通过符合性审查供应商的报价，有可能影响产品质量或者不能诚信履约的，将要求其在合理的时间内提供说明，必要时提交相关证明材料；投标人不能证明其报价合理性的，评标小组应当将其作为无效响应处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6.1.12响应文件未按照招标文件要求盖章、密封的。</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凡是响应文件中涉及供应商资信认证、人员证书、业绩荣誉等复印件，和要求法定代表人或授权委托人签字，和以供应商名称落款并注明需要盖章的，均需相应盖章或签字。否则视为未按照招标文件要求盖章。特别提醒：本项目《法定代表人身份证明》和《授权委托书》中，供应商需要对提供的人员身份证复印件上进行盖章确认。</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6.1.13投标人的商务技术部分得分相差悬殊，评标委员会认为得分畸低者没有实质性响应的。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6.1.14其他法律、法规及本招标文件规定的属无效响应的情形。</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6.2废标条款：</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6.2.1符合专业条件的供应商或者对招标文件作实质响应的供应商不足三家的。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6.2.2出现影响采购公正的违法、违规行为的。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6.2.3因重大变故，采购任务取消的。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6.2.4评标委员会认定招标文件存在歧义、重大缺陷导致评审工作无法进行。</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6.2.5 因系统故障原因造成开评标无法继续进行的（适用于不见面开标模式）。</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6.3 投标截止时间结束后参加投标的供应商不足三家的处理：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6.3.1如出现投标截止时间结束后参加投标的供应商或者在评标期间对招标文件做出实质响应的供应商不足三家情况，按政府采购相关规定执行。</w:t>
      </w:r>
    </w:p>
    <w:bookmarkEnd w:id="91"/>
    <w:bookmarkEnd w:id="92"/>
    <w:bookmarkEnd w:id="93"/>
    <w:p>
      <w:pPr>
        <w:adjustRightInd w:val="0"/>
        <w:snapToGrid w:val="0"/>
        <w:spacing w:line="460" w:lineRule="exact"/>
        <w:ind w:firstLine="562" w:firstLineChars="200"/>
        <w:rPr>
          <w:rFonts w:ascii="宋体" w:hAnsi="宋体" w:cs="宋体"/>
          <w:b/>
          <w:bCs/>
          <w:sz w:val="28"/>
          <w:szCs w:val="28"/>
        </w:rPr>
      </w:pPr>
      <w:bookmarkStart w:id="94" w:name="_Toc120614219"/>
      <w:r>
        <w:rPr>
          <w:rFonts w:hint="eastAsia" w:ascii="宋体" w:hAnsi="宋体" w:cs="宋体"/>
          <w:b/>
          <w:bCs/>
          <w:sz w:val="28"/>
          <w:szCs w:val="28"/>
        </w:rPr>
        <w:t>六、定标</w:t>
      </w:r>
      <w:bookmarkEnd w:id="94"/>
    </w:p>
    <w:p>
      <w:pPr>
        <w:adjustRightInd w:val="0"/>
        <w:snapToGrid w:val="0"/>
        <w:spacing w:line="460" w:lineRule="exact"/>
        <w:ind w:firstLine="560" w:firstLineChars="200"/>
        <w:rPr>
          <w:rFonts w:ascii="宋体" w:hAnsi="宋体" w:cs="宋体"/>
          <w:sz w:val="28"/>
          <w:szCs w:val="28"/>
        </w:rPr>
      </w:pPr>
      <w:bookmarkStart w:id="95" w:name="_Toc16938554"/>
      <w:bookmarkStart w:id="96" w:name="_Toc20823310"/>
      <w:r>
        <w:rPr>
          <w:rFonts w:hint="eastAsia" w:ascii="宋体" w:hAnsi="宋体" w:cs="宋体"/>
          <w:sz w:val="28"/>
          <w:szCs w:val="28"/>
        </w:rPr>
        <w:t>1.确定</w:t>
      </w:r>
      <w:bookmarkEnd w:id="95"/>
      <w:bookmarkEnd w:id="96"/>
      <w:r>
        <w:rPr>
          <w:rFonts w:hint="eastAsia" w:ascii="宋体" w:hAnsi="宋体" w:cs="宋体"/>
          <w:sz w:val="28"/>
          <w:szCs w:val="28"/>
        </w:rPr>
        <w:t>中标单位</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 xml:space="preserve">1.1中标候选人的选取原则和数量见招标文件第四部分规定。 </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1.2招标人授权评委会在中标候选人中直接确定中标人。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1.3代理机构将在“江苏省招标投标公共服务平台”发布中标</w:t>
      </w:r>
      <w:r>
        <w:rPr>
          <w:rFonts w:hint="eastAsia" w:ascii="宋体" w:hAnsi="宋体" w:cs="宋体"/>
          <w:sz w:val="28"/>
          <w:szCs w:val="28"/>
          <w:lang w:eastAsia="zh-CN"/>
        </w:rPr>
        <w:t>通告</w:t>
      </w:r>
      <w:r>
        <w:rPr>
          <w:rFonts w:hint="eastAsia" w:ascii="宋体" w:hAnsi="宋体" w:cs="宋体"/>
          <w:sz w:val="28"/>
          <w:szCs w:val="28"/>
        </w:rPr>
        <w:t>，</w:t>
      </w:r>
      <w:r>
        <w:rPr>
          <w:rFonts w:hint="eastAsia" w:ascii="宋体" w:hAnsi="宋体" w:cs="宋体"/>
          <w:sz w:val="28"/>
          <w:szCs w:val="28"/>
          <w:lang w:eastAsia="zh-CN"/>
        </w:rPr>
        <w:t>通告</w:t>
      </w:r>
      <w:r>
        <w:rPr>
          <w:rFonts w:hint="eastAsia" w:ascii="宋体" w:hAnsi="宋体" w:cs="宋体"/>
          <w:sz w:val="28"/>
          <w:szCs w:val="28"/>
        </w:rPr>
        <w:t>期限为1个工作日。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1.4若有充分证据证明，中标人出现下列情况之一的，一经查实，将被取消中标资格：</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1.4.1提供虚假材料谋取中标的。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1.4.2向招标人、代理机构行贿或者提供其他不正当利益的。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1.4.3恶意竞争，投标总报价明显低于其自身合理成本且又无法提供证明的。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1.4.4属于本文件规定的无效条件，但在评标过程中又未被评委会发现的。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1.4.5与招标人或者其他供应商恶意串通的。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1.4.6采取不正当手段诋毁、排挤其他供应商的。</w:t>
      </w:r>
    </w:p>
    <w:p>
      <w:pPr>
        <w:adjustRightInd w:val="0"/>
        <w:snapToGrid w:val="0"/>
        <w:spacing w:line="460" w:lineRule="exact"/>
        <w:ind w:firstLine="560" w:firstLineChars="200"/>
        <w:rPr>
          <w:rFonts w:ascii="宋体" w:hAnsi="宋体" w:cs="宋体"/>
          <w:sz w:val="28"/>
          <w:szCs w:val="28"/>
        </w:rPr>
      </w:pPr>
      <w:bookmarkStart w:id="97" w:name="_Toc200451960"/>
      <w:r>
        <w:rPr>
          <w:rFonts w:hint="eastAsia" w:ascii="宋体" w:hAnsi="宋体" w:cs="宋体"/>
          <w:sz w:val="28"/>
          <w:szCs w:val="28"/>
        </w:rPr>
        <w:t>1.5.有下列情形之一的，视为投标人串通投标，投标无效：</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1.5.1不同投标人的投标文件由同一单位或者个人编制；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1.5.2不同投标人委托同一单位或者个人办理投标事宜；</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1.5.3不同投标人的投标文件载明的项目管理成员或者联系人员为同一人；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1.5.4不同投标人的投标文件异常一致或者投标报价呈规律性差异；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1.5.5不同投标人的投标文件相互混装；</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2.质疑处理</w:t>
      </w:r>
      <w:bookmarkEnd w:id="97"/>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提出质疑的供应商应当是参与所质疑项目采购活动的供应商。潜在供应商依法获取其可质疑的招标文件的，可以对招标文件提出质疑。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2.2供应商认为招标文件、采购过程和采购结果使自己的权益受到损害的，可以在知道或应知其权益受到损害之日起七个工作日内，以书面形式向代理机构或招标人提出质疑。上述应知其权益受到损害之日，是指：</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2.2.1对可以质疑的招标文件提出质疑的，为收到招标文件之日或者招标文件</w:t>
      </w:r>
      <w:r>
        <w:rPr>
          <w:rFonts w:hint="eastAsia" w:ascii="宋体" w:hAnsi="宋体" w:cs="宋体"/>
          <w:b/>
          <w:bCs/>
          <w:sz w:val="28"/>
          <w:szCs w:val="28"/>
          <w:lang w:eastAsia="zh-CN"/>
        </w:rPr>
        <w:t>通告</w:t>
      </w:r>
      <w:r>
        <w:rPr>
          <w:rFonts w:hint="eastAsia" w:ascii="宋体" w:hAnsi="宋体" w:cs="宋体"/>
          <w:b/>
          <w:bCs/>
          <w:sz w:val="28"/>
          <w:szCs w:val="28"/>
        </w:rPr>
        <w:t>期限届满之日；项目开标后，供应商不得再就招标文件内容提出质疑。</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2.2.2对采购过程提出质疑的，为各采购程序环节结束之日；</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2.2.3对中标或者成交结果提出质疑的，为中标或者成交结果</w:t>
      </w:r>
      <w:r>
        <w:rPr>
          <w:rFonts w:hint="eastAsia" w:ascii="宋体" w:hAnsi="宋体" w:cs="宋体"/>
          <w:sz w:val="28"/>
          <w:szCs w:val="28"/>
          <w:lang w:eastAsia="zh-CN"/>
        </w:rPr>
        <w:t>通告</w:t>
      </w:r>
      <w:r>
        <w:rPr>
          <w:rFonts w:hint="eastAsia" w:ascii="宋体" w:hAnsi="宋体" w:cs="宋体"/>
          <w:sz w:val="28"/>
          <w:szCs w:val="28"/>
        </w:rPr>
        <w:t>期限届满之日。</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供应商应当在法定质疑期内一次性提出针对同一采购程序环节的质疑。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2.3质疑函必须按照本招标文件中《质疑函范本》要求的格式和内容进行填写。</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2.4对采购方式、招标文件中项目需求、供应商资格条件、评标方法和评标标准、资格审查结果等应当由招标人答复的质疑，请向招标人提出，由招标人负责答复。供应商对其他事项的质疑，请向代理机构提出，由招标人或代理机构负责答复。</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供应商提起质疑采取书面形式，可以现场送达，也可以邮寄。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招标人及招标代理机构质疑接收人及联系方式，见招标文件第一部分。</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2.5供应商提出质疑应当提交质疑函和必要的证明材料，否则不予受理。质疑函应当包括下列内容：</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供应商的姓名或者名称、地址、邮编、联系人及联系电话；</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质疑项目的名称、编号；</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具体、明确的质疑事项和与质疑事项相关的请求；</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事实依据；</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必要的法律依据；</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提出质疑的日期。</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供应商为自然人的，应当由本人签字；供应商为法人或者其他组织的，应当由法定代表人、主要负责人，或者其授权代表签字或者盖章，并加盖公章”</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2.5 以下情形的质疑不予受理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2.5.1 内容不符合上述规定的质疑。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2.5.2 超出采购法定期限的质疑。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2.5.3 未参加招标活动的供应商或在招标活动中自身权益未受到损害的供应商所提出的质疑。</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2.6 投标人提出书面质疑必须有理、有据，不得捏造事实、提供虚假材料进行恶意质疑。否则，一经查实，招标代理机构有权依据招标的有关规定，报请采购监管部门对该供应商进行相应的行政处罚和记录该供应商的失信信息。</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3.中标通知书</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3.l中标结果确定后，招标人将向中标供应商发出中标通知书。成交供应商应在成交结果</w:t>
      </w:r>
      <w:r>
        <w:rPr>
          <w:rFonts w:hint="eastAsia" w:ascii="宋体" w:hAnsi="宋体" w:cs="宋体"/>
          <w:sz w:val="28"/>
          <w:szCs w:val="28"/>
          <w:lang w:eastAsia="zh-CN"/>
        </w:rPr>
        <w:t>通告</w:t>
      </w:r>
      <w:r>
        <w:rPr>
          <w:rFonts w:hint="eastAsia" w:ascii="宋体" w:hAnsi="宋体" w:cs="宋体"/>
          <w:sz w:val="28"/>
          <w:szCs w:val="28"/>
        </w:rPr>
        <w:t>期满后5个工作日内到采购代理机构办理领取成交通知书手续，否则，由此产生的后果供应商自负。</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3.2中标通知书将是合同的一个组成部分。对招标人和中标供应商均具有法律效力。中标通知书发出后，招标人改变中标结果的，或者中标供应商放弃中标项目的，应当依法承担法律责任。</w:t>
      </w:r>
    </w:p>
    <w:p>
      <w:pPr>
        <w:adjustRightInd w:val="0"/>
        <w:snapToGrid w:val="0"/>
        <w:spacing w:line="460" w:lineRule="exact"/>
        <w:ind w:firstLine="562" w:firstLineChars="200"/>
        <w:rPr>
          <w:rFonts w:ascii="宋体" w:hAnsi="宋体" w:cs="宋体"/>
          <w:b/>
          <w:bCs/>
          <w:sz w:val="28"/>
          <w:szCs w:val="28"/>
        </w:rPr>
      </w:pPr>
      <w:bookmarkStart w:id="98" w:name="_Toc120614220"/>
      <w:bookmarkStart w:id="99" w:name="_Toc513029236"/>
      <w:bookmarkStart w:id="100" w:name="_Toc20823308"/>
      <w:bookmarkStart w:id="101" w:name="_Toc16938552"/>
      <w:r>
        <w:rPr>
          <w:rFonts w:hint="eastAsia" w:ascii="宋体" w:hAnsi="宋体" w:cs="宋体"/>
          <w:b/>
          <w:bCs/>
          <w:sz w:val="28"/>
          <w:szCs w:val="28"/>
        </w:rPr>
        <w:t>七、授予合同</w:t>
      </w:r>
      <w:bookmarkEnd w:id="98"/>
    </w:p>
    <w:bookmarkEnd w:id="99"/>
    <w:bookmarkEnd w:id="100"/>
    <w:bookmarkEnd w:id="101"/>
    <w:p>
      <w:pPr>
        <w:adjustRightInd w:val="0"/>
        <w:snapToGrid w:val="0"/>
        <w:spacing w:line="460" w:lineRule="exact"/>
        <w:ind w:firstLine="560" w:firstLineChars="200"/>
        <w:rPr>
          <w:rFonts w:ascii="宋体" w:hAnsi="宋体" w:cs="宋体"/>
          <w:sz w:val="28"/>
          <w:szCs w:val="28"/>
        </w:rPr>
      </w:pPr>
      <w:bookmarkStart w:id="102" w:name="_Toc513029237"/>
      <w:bookmarkStart w:id="103" w:name="_Toc16938553"/>
      <w:bookmarkStart w:id="104" w:name="_Toc20823309"/>
      <w:r>
        <w:rPr>
          <w:rFonts w:hint="eastAsia" w:ascii="宋体" w:hAnsi="宋体" w:cs="宋体"/>
          <w:sz w:val="28"/>
          <w:szCs w:val="28"/>
        </w:rPr>
        <w:t>1.签订合同</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1.l中标人应当在中标通知书发出之日起三十日内，按照招标文件确定的事项与招标人签订政府采购合同。</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1.2招标文件、中标人的投标文件及招标过程中有关澄清、承诺文件均应作为合同附件。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1.3签订合同后，中标人不得将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2.服务的追加、减少和添购。</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2.1政府采购合同履行中，招标人需追加与合同标的相同的服务的，在不改变合同其他条款的前提下，可以与中标人协商签订补充合同，但所有补充合同的采购金额不超过原合同金额10%。</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2.2采购结束后，招标人若由于各种客观原因，必须对采购项目所牵涉的服务进行适当的减少时，在双方协商一致的前提下，可以按照招标采购时的价格水平做相应的调减，并据此签订补充合同。</w:t>
      </w:r>
      <w:bookmarkEnd w:id="102"/>
      <w:bookmarkEnd w:id="103"/>
      <w:bookmarkEnd w:id="104"/>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第三部分  项目需求</w:t>
      </w:r>
      <w:bookmarkEnd w:id="0"/>
    </w:p>
    <w:p>
      <w:pPr>
        <w:spacing w:line="460" w:lineRule="exact"/>
        <w:ind w:firstLine="562" w:firstLineChars="200"/>
        <w:rPr>
          <w:rFonts w:ascii="宋体" w:hAnsi="宋体" w:cs="宋体"/>
          <w:b/>
          <w:bCs/>
          <w:sz w:val="28"/>
          <w:szCs w:val="28"/>
        </w:rPr>
      </w:pPr>
      <w:r>
        <w:rPr>
          <w:rFonts w:hint="eastAsia" w:ascii="宋体" w:hAnsi="宋体" w:cs="宋体"/>
          <w:b/>
          <w:bCs/>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napToGrid w:val="0"/>
        <w:spacing w:line="500" w:lineRule="exact"/>
        <w:ind w:firstLine="562" w:firstLineChars="200"/>
        <w:contextualSpacing/>
        <w:rPr>
          <w:rFonts w:ascii="宋体" w:hAnsi="宋体" w:cs="宋体"/>
          <w:b/>
          <w:sz w:val="28"/>
          <w:szCs w:val="28"/>
        </w:rPr>
      </w:pPr>
      <w:r>
        <w:rPr>
          <w:rFonts w:hint="eastAsia" w:ascii="宋体" w:hAnsi="宋体" w:cs="宋体"/>
          <w:b/>
          <w:bCs/>
          <w:sz w:val="28"/>
          <w:szCs w:val="28"/>
        </w:rPr>
        <w:t>供应商不能简单照搬照抄招标文件项目需求说明中的技术、商务要求，必须作实事求是的响应。如供应商提供的货物和服务同招标人提出的项目需求说明中的技术、商务要求不同的，必须在《技术部分正负偏离表》上明示。</w:t>
      </w:r>
    </w:p>
    <w:p>
      <w:pPr>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一、</w:t>
      </w:r>
      <w:r>
        <w:rPr>
          <w:rFonts w:hint="eastAsia" w:ascii="宋体" w:hAnsi="宋体" w:cs="宋体"/>
          <w:b/>
          <w:bCs/>
          <w:sz w:val="28"/>
          <w:szCs w:val="28"/>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0288;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bpes0gAAAAUBAAAPAAAAAAAAAAEAIAAAACIAAABkcnMvZG93bnJl&#10;di54bWxQSwECFAAUAAAACACHTuJAP8iOnQMCAAAzBAAADgAAAAAAAAABACAAAAAhAQAAZHJzL2Uy&#10;b0RvYy54bWxQSwUGAAAAAAYABgBZAQAAlgUAAAAA&#10;">
                <v:fill on="t" focussize="0,0"/>
                <v:stroke color="#000000" joinstyle="miter"/>
                <v:imagedata o:title=""/>
                <o:lock v:ext="edit" aspectratio="f"/>
                <v:textbox>
                  <w:txbxContent>
                    <w:p/>
                  </w:txbxContent>
                </v:textbox>
              </v:rect>
            </w:pict>
          </mc:Fallback>
        </mc:AlternateContent>
      </w:r>
      <w:r>
        <w:rPr>
          <w:rFonts w:hint="eastAsia" w:ascii="宋体" w:hAnsi="宋体" w:cs="宋体"/>
          <w:b/>
          <w:bCs/>
          <w:sz w:val="28"/>
          <w:szCs w:val="28"/>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custGeom>
                          <a:avLst/>
                          <a:gdLst>
                            <a:gd name="A1" fmla="val 0"/>
                            <a:gd name="A2" fmla="val 0"/>
                          </a:gdLst>
                          <a:ahLst/>
                          <a:cxnLst/>
                          <a:rect l="0" t="0" r="0" b="0"/>
                          <a:pathLst/>
                        </a:custGeom>
                        <a:noFill/>
                        <a:ln>
                          <a:noFill/>
                        </a:ln>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WKJ/zwAA&#10;AAUBAAAPAAAAAAAAAAEAIAAAACIAAABkcnMvZG93bnJldi54bWxQSwECFAAUAAAACACHTuJAkzk0&#10;yO4BAAAFBAAADgAAAAAAAAABACAAAAAeAQAAZHJzL2Uyb0RvYy54bWxQSwUGAAAAAAYABgBZAQAA&#10;fgUAAAAA&#10;">
                <v:fill on="f" focussize="0,0"/>
                <v:stroke on="f"/>
                <v:imagedata o:title=""/>
                <o:lock v:ext="edit" aspectratio="t"/>
                <v:textbox>
                  <w:txbxContent>
                    <w:p/>
                  </w:txbxContent>
                </v:textbox>
              </v:shape>
            </w:pict>
          </mc:Fallback>
        </mc:AlternateContent>
      </w:r>
      <w:r>
        <w:rPr>
          <w:rFonts w:hint="eastAsia" w:ascii="宋体" w:hAnsi="宋体" w:cs="宋体"/>
          <w:b/>
          <w:bCs/>
          <w:sz w:val="28"/>
          <w:szCs w:val="28"/>
        </w:rPr>
        <w:t>技术参数</w:t>
      </w:r>
    </w:p>
    <w:tbl>
      <w:tblPr>
        <w:tblStyle w:val="5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82"/>
        <w:gridCol w:w="598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pPr>
              <w:jc w:val="center"/>
              <w:rPr>
                <w:rFonts w:ascii="宋体" w:hAnsi="宋体" w:cs="宋体"/>
                <w:b/>
                <w:bCs/>
              </w:rPr>
            </w:pPr>
            <w:r>
              <w:rPr>
                <w:rFonts w:hint="eastAsia" w:ascii="宋体" w:hAnsi="宋体" w:cs="宋体"/>
                <w:b/>
                <w:bCs/>
              </w:rPr>
              <w:t>序号</w:t>
            </w:r>
          </w:p>
        </w:tc>
        <w:tc>
          <w:tcPr>
            <w:tcW w:w="1682" w:type="dxa"/>
          </w:tcPr>
          <w:p>
            <w:pPr>
              <w:jc w:val="center"/>
              <w:rPr>
                <w:rFonts w:ascii="宋体" w:hAnsi="宋体" w:cs="宋体"/>
                <w:b/>
                <w:bCs/>
              </w:rPr>
            </w:pPr>
            <w:r>
              <w:rPr>
                <w:rFonts w:hint="eastAsia" w:ascii="宋体" w:hAnsi="宋体" w:cs="宋体"/>
                <w:b/>
                <w:bCs/>
              </w:rPr>
              <w:t>配置设备名称</w:t>
            </w:r>
          </w:p>
        </w:tc>
        <w:tc>
          <w:tcPr>
            <w:tcW w:w="5988" w:type="dxa"/>
          </w:tcPr>
          <w:p>
            <w:pPr>
              <w:jc w:val="center"/>
              <w:rPr>
                <w:rFonts w:ascii="宋体" w:hAnsi="宋体" w:cs="宋体"/>
                <w:b/>
                <w:bCs/>
              </w:rPr>
            </w:pPr>
            <w:r>
              <w:rPr>
                <w:rFonts w:hint="eastAsia" w:ascii="宋体" w:hAnsi="宋体" w:cs="宋体"/>
                <w:b/>
                <w:bCs/>
              </w:rPr>
              <w:t>主要技术参数</w:t>
            </w:r>
          </w:p>
        </w:tc>
        <w:tc>
          <w:tcPr>
            <w:tcW w:w="821" w:type="dxa"/>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b/>
                <w:bCs/>
              </w:rPr>
            </w:pPr>
            <w:r>
              <w:rPr>
                <w:rFonts w:hint="eastAsia" w:ascii="宋体" w:hAnsi="宋体" w:cs="宋体"/>
                <w:sz w:val="24"/>
                <w:szCs w:val="24"/>
              </w:rPr>
              <w:t>1</w:t>
            </w:r>
          </w:p>
        </w:tc>
        <w:tc>
          <w:tcPr>
            <w:tcW w:w="1682" w:type="dxa"/>
            <w:vAlign w:val="center"/>
          </w:tcPr>
          <w:p>
            <w:pPr>
              <w:jc w:val="center"/>
              <w:rPr>
                <w:rFonts w:ascii="宋体" w:hAnsi="宋体" w:cs="宋体"/>
                <w:b/>
                <w:bCs/>
              </w:rPr>
            </w:pPr>
            <w:r>
              <w:rPr>
                <w:rFonts w:hint="eastAsia" w:ascii="宋体" w:hAnsi="宋体" w:cs="宋体"/>
              </w:rPr>
              <w:t>胸、腹部检查智能模拟训练系统  网络版-教师主控机</w:t>
            </w:r>
          </w:p>
        </w:tc>
        <w:tc>
          <w:tcPr>
            <w:tcW w:w="5988" w:type="dxa"/>
          </w:tcPr>
          <w:p>
            <w:pPr>
              <w:pStyle w:val="2"/>
              <w:spacing w:after="0"/>
              <w:rPr>
                <w:rFonts w:ascii="宋体" w:hAnsi="宋体" w:cs="宋体"/>
              </w:rPr>
            </w:pPr>
            <w:r>
              <w:rPr>
                <w:rFonts w:hint="eastAsia" w:ascii="宋体" w:hAnsi="宋体" w:cs="宋体"/>
              </w:rPr>
              <w:t>功能参数</w:t>
            </w:r>
          </w:p>
          <w:p>
            <w:pPr>
              <w:pStyle w:val="2"/>
              <w:spacing w:after="0"/>
              <w:rPr>
                <w:rFonts w:ascii="宋体" w:hAnsi="宋体" w:cs="宋体"/>
              </w:rPr>
            </w:pPr>
            <w:r>
              <w:rPr>
                <w:rFonts w:hint="eastAsia" w:ascii="宋体" w:hAnsi="宋体" w:cs="宋体"/>
              </w:rPr>
              <w:t>一、教学系统</w:t>
            </w:r>
          </w:p>
          <w:p>
            <w:pPr>
              <w:pStyle w:val="2"/>
              <w:spacing w:after="0"/>
              <w:rPr>
                <w:rFonts w:ascii="宋体" w:hAnsi="宋体" w:cs="宋体"/>
                <w:i/>
                <w:iCs/>
              </w:rPr>
            </w:pPr>
            <w:r>
              <w:rPr>
                <w:rFonts w:hint="eastAsia" w:ascii="宋体" w:hAnsi="宋体" w:cs="宋体"/>
              </w:rPr>
              <w:t>1.系统针对诊断学教材（Diagnostics）课程体系满足“胸腹部体格检查”的相关内容，贴合教学大纲，能够实现智能模拟人与计算机虚拟技术的系统相融合，完整体现诊断学胸部“视、触、叩、听”腹部“视、听、触、叩”的技能训练与考核。</w:t>
            </w:r>
          </w:p>
          <w:p>
            <w:pPr>
              <w:pStyle w:val="2"/>
              <w:spacing w:after="0"/>
              <w:rPr>
                <w:rFonts w:ascii="宋体" w:hAnsi="宋体" w:cs="宋体"/>
                <w:i/>
                <w:iCs/>
              </w:rPr>
            </w:pPr>
            <w:r>
              <w:rPr>
                <w:rFonts w:hint="eastAsia" w:ascii="宋体" w:hAnsi="宋体" w:cs="宋体"/>
              </w:rPr>
              <w:t>2.软件应系统具有三维互动视觉体验，形象阐释病理体征的解剖变化以及听诊音产生机理，界面生动，操作简捷；智能模拟人应内衬真实的骨骼结构，体表标志清晰，皮肤触感真实、柔软，光滑，满足体表定位需求；</w:t>
            </w:r>
          </w:p>
          <w:p>
            <w:pPr>
              <w:pStyle w:val="2"/>
              <w:spacing w:after="0"/>
              <w:rPr>
                <w:rFonts w:ascii="宋体" w:hAnsi="宋体" w:cs="宋体"/>
                <w:i/>
                <w:iCs/>
              </w:rPr>
            </w:pPr>
            <w:r>
              <w:rPr>
                <w:rFonts w:hint="eastAsia" w:ascii="宋体" w:hAnsi="宋体" w:cs="宋体"/>
              </w:rPr>
              <w:t>3.具备教学模式及自主学习模式；至少有“全体教学”和“全体自学”两种控制模式，可进行两组以上分组教学，全体教学时所有同一局域网内全部学生机立刻与教师机系统界面同步显示一致内容，学生机自动进入锁定状态，全体自学时所有同一局域网内全部学生机处于自学状态，不受教师机的控制，学生机可自由操作学习。教师可以一对多进行对话指导，统一对学生进行线下指导；学生机可点击界面上的举手提问按钮与教师进行对话。</w:t>
            </w:r>
          </w:p>
          <w:p>
            <w:pPr>
              <w:pStyle w:val="2"/>
              <w:spacing w:after="0"/>
              <w:rPr>
                <w:rFonts w:ascii="宋体" w:hAnsi="宋体" w:cs="宋体"/>
                <w:i/>
                <w:iCs/>
              </w:rPr>
            </w:pPr>
            <w:r>
              <w:rPr>
                <w:rFonts w:hint="eastAsia" w:ascii="宋体" w:hAnsi="宋体" w:cs="宋体"/>
              </w:rPr>
              <w:t>▲4.具有听诊扩展功能，可支持不少于4人同时听诊，可设置听诊音量，每个听诊终端也可分别自主调节听诊音量大小。</w:t>
            </w:r>
          </w:p>
          <w:p>
            <w:pPr>
              <w:pStyle w:val="2"/>
              <w:spacing w:after="0"/>
              <w:rPr>
                <w:rFonts w:ascii="宋体" w:hAnsi="宋体" w:cs="宋体"/>
                <w:i/>
                <w:iCs/>
              </w:rPr>
            </w:pPr>
            <w:r>
              <w:rPr>
                <w:rFonts w:hint="eastAsia" w:ascii="宋体" w:hAnsi="宋体" w:cs="宋体"/>
              </w:rPr>
              <w:t>5.网络版教学系统具有教师控制同一局域网内全部学生机SP工作状态的功能。</w:t>
            </w:r>
          </w:p>
          <w:p>
            <w:pPr>
              <w:pStyle w:val="2"/>
              <w:spacing w:after="0"/>
              <w:rPr>
                <w:rFonts w:ascii="宋体" w:hAnsi="宋体" w:cs="宋体"/>
                <w:i/>
                <w:iCs/>
              </w:rPr>
            </w:pPr>
            <w:r>
              <w:rPr>
                <w:rFonts w:hint="eastAsia" w:ascii="宋体" w:hAnsi="宋体" w:cs="宋体"/>
              </w:rPr>
              <w:t>6.题库内置视、触、叩、听等理论题和技能题不少于300题，教师可无限添加、修改试题。</w:t>
            </w:r>
          </w:p>
          <w:p>
            <w:pPr>
              <w:pStyle w:val="2"/>
              <w:spacing w:after="0"/>
              <w:rPr>
                <w:rFonts w:ascii="宋体" w:hAnsi="宋体" w:cs="宋体"/>
                <w:i/>
                <w:iCs/>
              </w:rPr>
            </w:pPr>
            <w:r>
              <w:rPr>
                <w:rFonts w:hint="eastAsia" w:ascii="宋体" w:hAnsi="宋体" w:cs="宋体"/>
              </w:rPr>
              <w:t>7.软件系统具有多类别考核内容，并可进行自我练习或自我考核以及联控考核等。自带考试系统，可自主选题、系统随机出题等多项试卷管理；系统具有试卷导出、保存试卷、查看成绩、打印、系统自动评分等功能。</w:t>
            </w:r>
          </w:p>
          <w:p>
            <w:pPr>
              <w:pStyle w:val="2"/>
              <w:spacing w:after="0"/>
              <w:rPr>
                <w:rFonts w:ascii="宋体" w:hAnsi="宋体" w:cs="宋体"/>
              </w:rPr>
            </w:pPr>
            <w:r>
              <w:rPr>
                <w:rFonts w:hint="eastAsia" w:ascii="宋体" w:hAnsi="宋体" w:cs="宋体"/>
              </w:rPr>
              <w:t>8.系统具有计算机软件类似著作权登记证书。</w:t>
            </w:r>
          </w:p>
          <w:p>
            <w:pPr>
              <w:pStyle w:val="2"/>
              <w:spacing w:after="0"/>
              <w:rPr>
                <w:rFonts w:ascii="宋体" w:hAnsi="宋体" w:cs="宋体"/>
                <w:i/>
                <w:iCs/>
              </w:rPr>
            </w:pPr>
            <w:r>
              <w:rPr>
                <w:rFonts w:hint="eastAsia" w:ascii="宋体" w:hAnsi="宋体" w:cs="宋体"/>
              </w:rPr>
              <w:t>9.配套自动升降多功能转换实验台，占地面积不超过1.6m×0.8m，触诊桌面可翻转并可自由上升或下降到学生需要的高度，可拓展实验室用途。</w:t>
            </w:r>
          </w:p>
          <w:p>
            <w:pPr>
              <w:rPr>
                <w:rFonts w:ascii="宋体" w:hAnsi="宋体" w:cs="宋体"/>
                <w:sz w:val="20"/>
                <w:szCs w:val="20"/>
              </w:rPr>
            </w:pPr>
            <w:r>
              <w:rPr>
                <w:rFonts w:hint="eastAsia" w:ascii="宋体" w:hAnsi="宋体" w:cs="宋体"/>
                <w:sz w:val="20"/>
                <w:szCs w:val="20"/>
              </w:rPr>
              <w:t>二、胸部检查教学训练系统</w:t>
            </w:r>
          </w:p>
          <w:p>
            <w:pPr>
              <w:pStyle w:val="2"/>
              <w:spacing w:after="0"/>
              <w:rPr>
                <w:rFonts w:ascii="宋体" w:hAnsi="宋体" w:cs="宋体"/>
                <w:i/>
                <w:iCs/>
              </w:rPr>
            </w:pPr>
            <w:r>
              <w:rPr>
                <w:rFonts w:hint="eastAsia" w:ascii="宋体" w:hAnsi="宋体" w:cs="宋体"/>
              </w:rPr>
              <w:t>胸部检查教学训练系统模拟人为成年男性半身模型，体表皮肤触感柔软、光滑，体表标志清晰。模型内衬真实的骨骼结构、体表标志清晰，满足体表定位需求。系统包括：心脏基础知识，心脏视诊、叩诊、触诊、听诊及肺脏检查，肺脏视诊、触诊、叩诊、听诊、肺脏听诊常见病例。</w:t>
            </w:r>
          </w:p>
          <w:p>
            <w:pPr>
              <w:pStyle w:val="2"/>
              <w:spacing w:after="0"/>
              <w:rPr>
                <w:rFonts w:ascii="宋体" w:hAnsi="宋体" w:cs="宋体"/>
                <w:i/>
                <w:iCs/>
              </w:rPr>
            </w:pPr>
            <w:r>
              <w:rPr>
                <w:rFonts w:hint="eastAsia" w:ascii="宋体" w:hAnsi="宋体" w:cs="宋体"/>
              </w:rPr>
              <w:t>1.心脏基础知识：</w:t>
            </w:r>
          </w:p>
          <w:p>
            <w:pPr>
              <w:pStyle w:val="2"/>
              <w:spacing w:after="0"/>
              <w:rPr>
                <w:rFonts w:ascii="宋体" w:hAnsi="宋体" w:cs="宋体"/>
                <w:i/>
                <w:iCs/>
              </w:rPr>
            </w:pPr>
            <w:r>
              <w:rPr>
                <w:rFonts w:hint="eastAsia" w:ascii="宋体" w:hAnsi="宋体" w:cs="宋体"/>
              </w:rPr>
              <w:t>▲1.1三维互动视觉体验任意360°立体查看心脏不同角度的解剖结构并可快速定位旋转及放大缩小，可显示当前指定的各种不同解剖部位名称。</w:t>
            </w:r>
          </w:p>
          <w:p>
            <w:pPr>
              <w:pStyle w:val="2"/>
              <w:spacing w:after="0"/>
              <w:rPr>
                <w:rFonts w:ascii="宋体" w:hAnsi="宋体" w:cs="宋体"/>
                <w:i/>
                <w:iCs/>
              </w:rPr>
            </w:pPr>
            <w:r>
              <w:rPr>
                <w:rFonts w:hint="eastAsia" w:ascii="宋体" w:hAnsi="宋体" w:cs="宋体"/>
              </w:rPr>
              <w:t>1.2系统包括心脏解剖复习、心脏剖面、血流动力学、心脏外形等等教学知识。</w:t>
            </w:r>
          </w:p>
          <w:p>
            <w:pPr>
              <w:pStyle w:val="2"/>
              <w:spacing w:after="0"/>
              <w:rPr>
                <w:rFonts w:ascii="宋体" w:hAnsi="宋体" w:cs="宋体"/>
                <w:i/>
                <w:iCs/>
              </w:rPr>
            </w:pPr>
            <w:r>
              <w:rPr>
                <w:rFonts w:hint="eastAsia" w:ascii="宋体" w:hAnsi="宋体" w:cs="宋体"/>
              </w:rPr>
              <w:t>2.心脏视诊：</w:t>
            </w:r>
          </w:p>
          <w:p>
            <w:pPr>
              <w:pStyle w:val="2"/>
              <w:spacing w:after="0"/>
              <w:rPr>
                <w:rFonts w:ascii="宋体" w:hAnsi="宋体" w:cs="宋体"/>
                <w:i/>
                <w:iCs/>
              </w:rPr>
            </w:pPr>
            <w:r>
              <w:rPr>
                <w:rFonts w:hint="eastAsia" w:ascii="宋体" w:hAnsi="宋体" w:cs="宋体"/>
              </w:rPr>
              <w:t>●2.1采用视频动画与三维交互表现形式，同时相应的病例配备心音图、心电图，可在模型上同步体验心尖搏动、负性心尖搏动以及震颤，心音图/心电图/声音随心率调整而随之变化，并达到同步。</w:t>
            </w:r>
          </w:p>
          <w:p>
            <w:pPr>
              <w:pStyle w:val="2"/>
              <w:spacing w:after="0"/>
              <w:rPr>
                <w:rFonts w:ascii="宋体" w:hAnsi="宋体" w:cs="宋体"/>
                <w:i/>
                <w:iCs/>
              </w:rPr>
            </w:pPr>
            <w:r>
              <w:rPr>
                <w:rFonts w:hint="eastAsia" w:ascii="宋体" w:hAnsi="宋体" w:cs="宋体"/>
              </w:rPr>
              <w:t>●2.2可查看不同角度的血流走向和器官状态，形象阐释病理体征的解剖结构、心脏瓣膜、血流的血液动力学变化及听诊音产生原理。</w:t>
            </w:r>
          </w:p>
          <w:p>
            <w:pPr>
              <w:pStyle w:val="2"/>
              <w:spacing w:after="0"/>
              <w:rPr>
                <w:rFonts w:ascii="宋体" w:hAnsi="宋体" w:cs="宋体"/>
                <w:i/>
                <w:iCs/>
              </w:rPr>
            </w:pPr>
            <w:r>
              <w:rPr>
                <w:rFonts w:hint="eastAsia" w:ascii="宋体" w:hAnsi="宋体" w:cs="宋体"/>
              </w:rPr>
              <w:t>2.3视诊教学内容包含视诊方法、多种胸廓畸形（含：前区隆起、鸡胸等）、心尖搏动（含：心尖搏动位置、负性心尖搏动）、心前区异常搏动（含：胸骨左缘第二肋间收缩期搏动、胸骨右缘第二肋间及胸骨上窝收缩期搏动等）近10种相关的内容。</w:t>
            </w:r>
          </w:p>
          <w:p>
            <w:pPr>
              <w:pStyle w:val="2"/>
              <w:spacing w:after="0"/>
              <w:rPr>
                <w:rFonts w:ascii="宋体" w:hAnsi="宋体" w:cs="宋体"/>
                <w:i/>
                <w:iCs/>
              </w:rPr>
            </w:pPr>
            <w:r>
              <w:rPr>
                <w:rFonts w:hint="eastAsia" w:ascii="宋体" w:hAnsi="宋体" w:cs="宋体"/>
              </w:rPr>
              <w:t>3.心脏叩诊：</w:t>
            </w:r>
          </w:p>
          <w:p>
            <w:pPr>
              <w:pStyle w:val="2"/>
              <w:spacing w:after="0"/>
              <w:rPr>
                <w:rFonts w:ascii="宋体" w:hAnsi="宋体" w:cs="宋体"/>
                <w:i/>
                <w:iCs/>
              </w:rPr>
            </w:pPr>
            <w:r>
              <w:rPr>
                <w:rFonts w:hint="eastAsia" w:ascii="宋体" w:hAnsi="宋体" w:cs="宋体"/>
              </w:rPr>
              <w:t>3.1具有三维立体交互表现形式，包括心尖搏动、心前区异常搏动、心浊音界改变的常见心脏疾病、正常心脏相对浊音界范围等相关内容。</w:t>
            </w:r>
          </w:p>
          <w:p>
            <w:pPr>
              <w:pStyle w:val="2"/>
              <w:spacing w:after="0"/>
              <w:rPr>
                <w:rFonts w:ascii="宋体" w:hAnsi="宋体" w:cs="宋体"/>
                <w:i/>
                <w:iCs/>
              </w:rPr>
            </w:pPr>
            <w:r>
              <w:rPr>
                <w:rFonts w:hint="eastAsia" w:ascii="宋体" w:hAnsi="宋体" w:cs="宋体"/>
              </w:rPr>
              <w:t>●3.2教学内容包含叩诊方法及顺序、正常心界及心浊音界改变的常见心脏疾病（不低于4种）、正常心脏相对浊音界范围相关的内容及体征（不低于5种）。</w:t>
            </w:r>
          </w:p>
          <w:p>
            <w:pPr>
              <w:pStyle w:val="2"/>
              <w:spacing w:after="0"/>
              <w:rPr>
                <w:rFonts w:ascii="宋体" w:hAnsi="宋体" w:cs="宋体"/>
                <w:i/>
                <w:iCs/>
              </w:rPr>
            </w:pPr>
            <w:r>
              <w:rPr>
                <w:rFonts w:hint="eastAsia" w:ascii="宋体" w:hAnsi="宋体" w:cs="宋体"/>
              </w:rPr>
              <w:t>4.心脏触诊：</w:t>
            </w:r>
          </w:p>
          <w:p>
            <w:pPr>
              <w:pStyle w:val="2"/>
              <w:spacing w:after="0"/>
              <w:rPr>
                <w:rFonts w:ascii="宋体" w:hAnsi="宋体" w:cs="宋体"/>
                <w:i/>
                <w:iCs/>
              </w:rPr>
            </w:pPr>
            <w:r>
              <w:rPr>
                <w:rFonts w:hint="eastAsia" w:ascii="宋体" w:hAnsi="宋体" w:cs="宋体"/>
              </w:rPr>
              <w:t>4.1模型采用微型震动传感系统，可直观感受触诊病例体征，触诊效果仿真临床真实病人。可触及的心尖搏动与教学系统界面内三维动画的心脏运动实现同步，且可产生同步的心音图和心电图，可在模拟人身上进行相关设置。</w:t>
            </w:r>
          </w:p>
          <w:p>
            <w:pPr>
              <w:pStyle w:val="2"/>
              <w:spacing w:after="0"/>
              <w:rPr>
                <w:rFonts w:ascii="宋体" w:hAnsi="宋体" w:cs="宋体"/>
                <w:i/>
                <w:iCs/>
              </w:rPr>
            </w:pPr>
            <w:r>
              <w:rPr>
                <w:rFonts w:hint="eastAsia" w:ascii="宋体" w:hAnsi="宋体" w:cs="宋体"/>
              </w:rPr>
              <w:t>▲4.2根据不同病例设置有不同强弱的语颤、猫喘、心包摩擦感、胸膜摩擦感的触诊体征。可根据不同病例体验多种不同的心尖搏动、连续性震颤以及心包摩擦感等。</w:t>
            </w:r>
          </w:p>
          <w:p>
            <w:pPr>
              <w:pStyle w:val="2"/>
              <w:spacing w:after="0"/>
              <w:rPr>
                <w:rFonts w:ascii="宋体" w:hAnsi="宋体" w:cs="宋体"/>
                <w:i/>
                <w:iCs/>
              </w:rPr>
            </w:pPr>
            <w:r>
              <w:rPr>
                <w:rFonts w:hint="eastAsia" w:ascii="宋体" w:hAnsi="宋体" w:cs="宋体"/>
              </w:rPr>
              <w:t>5.心脏听诊：</w:t>
            </w:r>
          </w:p>
          <w:p>
            <w:pPr>
              <w:pStyle w:val="2"/>
              <w:spacing w:after="0"/>
              <w:rPr>
                <w:rFonts w:ascii="宋体" w:hAnsi="宋体" w:cs="宋体"/>
                <w:i/>
                <w:iCs/>
              </w:rPr>
            </w:pPr>
            <w:r>
              <w:rPr>
                <w:rFonts w:hint="eastAsia" w:ascii="宋体" w:hAnsi="宋体" w:cs="宋体"/>
              </w:rPr>
              <w:t>5.1符合教学大纲要求配备视频演示、心音图、心电图等相关素材，贴近临床实际场景。</w:t>
            </w:r>
          </w:p>
          <w:p>
            <w:pPr>
              <w:pStyle w:val="2"/>
              <w:spacing w:after="0"/>
              <w:rPr>
                <w:rFonts w:ascii="宋体" w:hAnsi="宋体" w:cs="宋体"/>
                <w:i/>
                <w:iCs/>
              </w:rPr>
            </w:pPr>
            <w:r>
              <w:rPr>
                <w:rFonts w:hint="eastAsia" w:ascii="宋体" w:hAnsi="宋体" w:cs="宋体"/>
              </w:rPr>
              <w:t>5.2具有三维全息无线互感听诊体验，可根据人体声波传导原理，模拟不同听诊区在相近部位的声音强弱变化，听诊直径可达到1～5cm；易于分辨混淆音，还原真实听诊体验。</w:t>
            </w:r>
          </w:p>
          <w:p>
            <w:pPr>
              <w:pStyle w:val="2"/>
              <w:spacing w:after="0"/>
              <w:rPr>
                <w:rFonts w:ascii="宋体" w:hAnsi="宋体" w:cs="宋体"/>
                <w:i/>
                <w:iCs/>
              </w:rPr>
            </w:pPr>
            <w:r>
              <w:rPr>
                <w:rFonts w:hint="eastAsia" w:ascii="宋体" w:hAnsi="宋体" w:cs="宋体"/>
              </w:rPr>
              <w:t>5.3对于易混淆、难区别的听诊体征，有常见听诊音鉴别单元至少20组进行详细讲解。可同步显示心电图和心音图、文字解说、视频以及数据表格详细区分对比，具有声音元素分解听诊，便于鉴别。</w:t>
            </w:r>
          </w:p>
          <w:p>
            <w:pPr>
              <w:pStyle w:val="2"/>
              <w:spacing w:after="0"/>
              <w:rPr>
                <w:rFonts w:ascii="宋体" w:hAnsi="宋体" w:cs="宋体"/>
                <w:i/>
                <w:iCs/>
              </w:rPr>
            </w:pPr>
            <w:r>
              <w:rPr>
                <w:rFonts w:hint="eastAsia" w:ascii="宋体" w:hAnsi="宋体" w:cs="宋体"/>
              </w:rPr>
              <w:t>5.4系统具备≥100例常见心血管检查生理及病理体征，≥60例肺部检查体征，综合体征200例以上。</w:t>
            </w:r>
          </w:p>
          <w:p>
            <w:pPr>
              <w:pStyle w:val="2"/>
              <w:spacing w:after="0"/>
              <w:rPr>
                <w:rFonts w:ascii="宋体" w:hAnsi="宋体" w:cs="宋体"/>
                <w:i/>
                <w:iCs/>
              </w:rPr>
            </w:pPr>
            <w:r>
              <w:rPr>
                <w:rFonts w:hint="eastAsia" w:ascii="宋体" w:hAnsi="宋体" w:cs="宋体"/>
              </w:rPr>
              <w:t>5.5可实现在二尖瓣区（心尖）、肺动脉瓣区、主动脉瓣区、主动脉瓣第二听诊区、三尖瓣区、喉部；腋前线上、下部和腋中线上、下部；背部腋后线、肩胛间区，肩胛下区等多个胸部听诊区域全信息同时覆盖的听诊效果。</w:t>
            </w:r>
          </w:p>
          <w:p>
            <w:pPr>
              <w:pStyle w:val="2"/>
              <w:spacing w:after="0"/>
              <w:rPr>
                <w:rFonts w:ascii="宋体" w:hAnsi="宋体" w:cs="宋体"/>
                <w:i/>
                <w:iCs/>
              </w:rPr>
            </w:pPr>
            <w:r>
              <w:rPr>
                <w:rFonts w:hint="eastAsia" w:ascii="宋体" w:hAnsi="宋体" w:cs="宋体"/>
              </w:rPr>
              <w:t>5.6心脏听诊内容包含频率（窦性心动过速等）、节律（心房颤动等）、心音（S1、S2、S3等）、心音的改变（心音性质的改变、S1强弱不等、S2生理性分裂等）、额外心音（开瓣音、舒张早期奔马律、主动脉瓣喷射音等）、杂音（二尖瓣狭窄、二尖瓣关闭不全、主动脉瓣狭窄等）、常见听诊音鉴别（窦性心动过速与室上性心动过速、S2顺分裂和S2固定分裂 等）心包摩擦音，包含百余种病例直观演示，可根据教学需要调节相应心跳速度并有3D显示；同步显示心电图和心音图，文字解说。</w:t>
            </w:r>
          </w:p>
          <w:p>
            <w:pPr>
              <w:pStyle w:val="2"/>
              <w:spacing w:after="0"/>
              <w:rPr>
                <w:rFonts w:ascii="宋体" w:hAnsi="宋体" w:cs="宋体"/>
                <w:i/>
                <w:iCs/>
              </w:rPr>
            </w:pPr>
            <w:r>
              <w:rPr>
                <w:rFonts w:hint="eastAsia" w:ascii="宋体" w:hAnsi="宋体" w:cs="宋体"/>
              </w:rPr>
              <w:t>●5.7心率可调节，具备3D动画、心音图、心电图和声音随心率调整而随之变化，并达到同步。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p>
          <w:p>
            <w:pPr>
              <w:pStyle w:val="2"/>
              <w:spacing w:after="0"/>
              <w:rPr>
                <w:rFonts w:ascii="宋体" w:hAnsi="宋体" w:cs="宋体"/>
                <w:i/>
                <w:iCs/>
              </w:rPr>
            </w:pPr>
            <w:r>
              <w:rPr>
                <w:rFonts w:hint="eastAsia" w:ascii="宋体" w:hAnsi="宋体" w:cs="宋体"/>
              </w:rPr>
              <w:t>6.肺脏检查</w:t>
            </w:r>
          </w:p>
          <w:p>
            <w:pPr>
              <w:pStyle w:val="2"/>
              <w:spacing w:after="0"/>
              <w:rPr>
                <w:rFonts w:ascii="宋体" w:hAnsi="宋体" w:cs="宋体"/>
                <w:i/>
                <w:iCs/>
              </w:rPr>
            </w:pPr>
            <w:r>
              <w:rPr>
                <w:rFonts w:hint="eastAsia" w:ascii="宋体" w:hAnsi="宋体" w:cs="宋体"/>
              </w:rPr>
              <w:t>▲具备三维互动视觉体验：可立体查看并可快速定位，可对肺脏解剖结构进行旋转、分层查看包括全部、皮肤、胸膜、邻近器官、隐藏骨骼、呼吸器官等，可显示各部位名称，具有人体的自然陷窝和解剖区域讲解；系统自带20种临床常见病例，并配有CT、X线片、呼吸音波形图以及心电图进行详细的讲解。</w:t>
            </w:r>
          </w:p>
          <w:p>
            <w:pPr>
              <w:pStyle w:val="2"/>
              <w:spacing w:after="0"/>
              <w:rPr>
                <w:rFonts w:ascii="宋体" w:hAnsi="宋体" w:cs="宋体"/>
                <w:i/>
                <w:iCs/>
              </w:rPr>
            </w:pPr>
            <w:r>
              <w:rPr>
                <w:rFonts w:hint="eastAsia" w:ascii="宋体" w:hAnsi="宋体" w:cs="宋体"/>
              </w:rPr>
              <w:t>7.肺脏视诊</w:t>
            </w:r>
          </w:p>
          <w:p>
            <w:pPr>
              <w:pStyle w:val="2"/>
              <w:spacing w:after="0"/>
              <w:rPr>
                <w:rFonts w:ascii="宋体" w:hAnsi="宋体" w:cs="宋体"/>
                <w:i/>
                <w:iCs/>
              </w:rPr>
            </w:pPr>
            <w:r>
              <w:rPr>
                <w:rFonts w:hint="eastAsia" w:ascii="宋体" w:hAnsi="宋体" w:cs="宋体"/>
              </w:rPr>
              <w:t>7.1视诊包含胸壁检查、胸廓检查、呼吸运动、呼吸频率、呼吸深度和呼吸节律相关的内容。相关病例配有相应的呼吸波形图以及心电图以及3D模型；同时根据病例可在仿真人体模型上体验相应的心尖搏动。</w:t>
            </w:r>
          </w:p>
          <w:p>
            <w:pPr>
              <w:pStyle w:val="2"/>
              <w:spacing w:after="0"/>
              <w:rPr>
                <w:rFonts w:ascii="宋体" w:hAnsi="宋体" w:cs="宋体"/>
                <w:i/>
                <w:iCs/>
              </w:rPr>
            </w:pPr>
            <w:r>
              <w:rPr>
                <w:rFonts w:hint="eastAsia" w:ascii="宋体" w:hAnsi="宋体" w:cs="宋体"/>
              </w:rPr>
              <w:t>7.2胸壁检查（静脉、胸壁压痛、肋间隙等）。</w:t>
            </w:r>
          </w:p>
          <w:p>
            <w:pPr>
              <w:pStyle w:val="2"/>
              <w:spacing w:after="0"/>
              <w:rPr>
                <w:rFonts w:ascii="宋体" w:hAnsi="宋体" w:cs="宋体"/>
                <w:i/>
                <w:iCs/>
              </w:rPr>
            </w:pPr>
            <w:r>
              <w:rPr>
                <w:rFonts w:hint="eastAsia" w:ascii="宋体" w:hAnsi="宋体" w:cs="宋体"/>
              </w:rPr>
              <w:t>7.3胸廓检查（正常胸廓、佝偻病胸、胸廓一侧变形等）。</w:t>
            </w:r>
          </w:p>
          <w:p>
            <w:pPr>
              <w:pStyle w:val="2"/>
              <w:spacing w:after="0"/>
              <w:rPr>
                <w:rFonts w:ascii="宋体" w:hAnsi="宋体" w:cs="宋体"/>
                <w:i/>
                <w:iCs/>
              </w:rPr>
            </w:pPr>
            <w:r>
              <w:rPr>
                <w:rFonts w:hint="eastAsia" w:ascii="宋体" w:hAnsi="宋体" w:cs="宋体"/>
              </w:rPr>
              <w:t>●7.4呼吸频率具备≥13种可调节模式，均有心电图和呼吸波型显示，呼吸频率可调节。</w:t>
            </w:r>
          </w:p>
          <w:p>
            <w:pPr>
              <w:pStyle w:val="2"/>
              <w:spacing w:after="0"/>
              <w:rPr>
                <w:rFonts w:ascii="宋体" w:hAnsi="宋体" w:cs="宋体"/>
                <w:i/>
                <w:iCs/>
              </w:rPr>
            </w:pPr>
            <w:r>
              <w:rPr>
                <w:rFonts w:hint="eastAsia" w:ascii="宋体" w:hAnsi="宋体" w:cs="宋体"/>
              </w:rPr>
              <w:t>7.5呼吸节律：包含潮式呼吸（Cheyne-Stokes呼吸）、间停呼吸（Biot呼吸）、叹气样呼吸等。</w:t>
            </w:r>
          </w:p>
          <w:p>
            <w:pPr>
              <w:pStyle w:val="2"/>
              <w:spacing w:after="0"/>
              <w:rPr>
                <w:rFonts w:ascii="宋体" w:hAnsi="宋体" w:cs="宋体"/>
                <w:i/>
                <w:iCs/>
              </w:rPr>
            </w:pPr>
            <w:r>
              <w:rPr>
                <w:rFonts w:hint="eastAsia" w:ascii="宋体" w:hAnsi="宋体" w:cs="宋体"/>
              </w:rPr>
              <w:t>7.6呼吸运动具有男性腹式呼吸、女性胸式呼吸、呼气性困难、混合型困难等均有心电图和呼吸波型显示，呼吸频率可调节。</w:t>
            </w:r>
          </w:p>
          <w:p>
            <w:pPr>
              <w:pStyle w:val="2"/>
              <w:spacing w:after="0"/>
              <w:rPr>
                <w:rFonts w:ascii="宋体" w:hAnsi="宋体" w:cs="宋体"/>
                <w:i/>
                <w:iCs/>
              </w:rPr>
            </w:pPr>
            <w:r>
              <w:rPr>
                <w:rFonts w:hint="eastAsia" w:ascii="宋体" w:hAnsi="宋体" w:cs="宋体"/>
              </w:rPr>
              <w:t>8.肺脏触诊</w:t>
            </w:r>
          </w:p>
          <w:p>
            <w:pPr>
              <w:pStyle w:val="2"/>
              <w:spacing w:after="0"/>
              <w:rPr>
                <w:rFonts w:ascii="宋体" w:hAnsi="宋体" w:cs="宋体"/>
                <w:i/>
                <w:iCs/>
              </w:rPr>
            </w:pPr>
            <w:r>
              <w:rPr>
                <w:rFonts w:hint="eastAsia" w:ascii="宋体" w:hAnsi="宋体" w:cs="宋体"/>
              </w:rPr>
              <w:t>8.1相关病例还可在仿真人体模型上体验相应的心尖搏动、触觉语颤、胸膜摩擦感。触诊包含胸廓扩张度、胸廓扩张度异常、（语音震颤）触觉语颤等相关的内容。</w:t>
            </w:r>
          </w:p>
          <w:p>
            <w:pPr>
              <w:pStyle w:val="2"/>
              <w:spacing w:after="0"/>
              <w:rPr>
                <w:rFonts w:ascii="宋体" w:hAnsi="宋体" w:cs="宋体"/>
                <w:i/>
                <w:iCs/>
              </w:rPr>
            </w:pPr>
            <w:r>
              <w:rPr>
                <w:rFonts w:hint="eastAsia" w:ascii="宋体" w:hAnsi="宋体" w:cs="宋体"/>
              </w:rPr>
              <w:t>8.2软件与模拟人配合可发长音“yi”进而可进行触觉语颤检查；</w:t>
            </w:r>
          </w:p>
          <w:p>
            <w:pPr>
              <w:pStyle w:val="2"/>
              <w:spacing w:after="0"/>
              <w:rPr>
                <w:rFonts w:ascii="宋体" w:hAnsi="宋体" w:cs="宋体"/>
                <w:i/>
                <w:iCs/>
              </w:rPr>
            </w:pPr>
            <w:r>
              <w:rPr>
                <w:rFonts w:hint="eastAsia" w:ascii="宋体" w:hAnsi="宋体" w:cs="宋体"/>
              </w:rPr>
              <w:t>8.3胸廓扩张度；胸廓扩张度异常（一侧胸廓扩张度增强、一侧胸廓扩张度减弱等）语音震颤增强（肺实变、肺空洞等）；语音震颤减弱；胸膜摩擦感。</w:t>
            </w:r>
          </w:p>
          <w:p>
            <w:pPr>
              <w:pStyle w:val="2"/>
              <w:spacing w:after="0"/>
              <w:rPr>
                <w:rFonts w:ascii="宋体" w:hAnsi="宋体" w:cs="宋体"/>
              </w:rPr>
            </w:pPr>
            <w:r>
              <w:rPr>
                <w:rFonts w:hint="eastAsia" w:ascii="宋体" w:hAnsi="宋体" w:cs="宋体"/>
              </w:rPr>
              <w:t>9.肺脏听诊</w:t>
            </w:r>
          </w:p>
          <w:p>
            <w:pPr>
              <w:pStyle w:val="2"/>
              <w:spacing w:after="0"/>
              <w:rPr>
                <w:rFonts w:ascii="宋体" w:hAnsi="宋体" w:cs="宋体"/>
                <w:i/>
                <w:iCs/>
              </w:rPr>
            </w:pPr>
            <w:r>
              <w:rPr>
                <w:rFonts w:hint="eastAsia" w:ascii="宋体" w:hAnsi="宋体" w:cs="宋体"/>
              </w:rPr>
              <w:t>包含听诊要领（VCR）和听诊内容等部分，相关病例可配合相应的呼吸波形图以及心电图以及3D模型；还可在仿真人体模型上体验相应的心尖冲动、触觉语颤、听诊音以及胸膜摩擦感。</w:t>
            </w:r>
          </w:p>
          <w:p>
            <w:pPr>
              <w:pStyle w:val="2"/>
              <w:spacing w:after="0"/>
              <w:rPr>
                <w:rFonts w:ascii="宋体" w:hAnsi="宋体" w:cs="宋体"/>
                <w:i/>
                <w:iCs/>
              </w:rPr>
            </w:pPr>
            <w:r>
              <w:rPr>
                <w:rFonts w:hint="eastAsia" w:ascii="宋体" w:hAnsi="宋体" w:cs="宋体"/>
              </w:rPr>
              <w:t>9.1包含正常呼吸音（正常支气呼吸音、正常肺泡呼吸音等）、异常呼吸音（断续性呼吸音、异常支气管呼吸音（大叶性肺炎）等）、湿啰音（粗湿啰音/Velcro啰音等） 、干啰音（ 鸟鸣音、飞箭音 等）、语音共振（胸语音、羊鸣音等）、胸膜摩擦音等。</w:t>
            </w:r>
          </w:p>
          <w:p>
            <w:pPr>
              <w:pStyle w:val="2"/>
              <w:spacing w:after="0"/>
              <w:rPr>
                <w:rFonts w:ascii="宋体" w:hAnsi="宋体" w:cs="宋体"/>
              </w:rPr>
            </w:pPr>
            <w:r>
              <w:rPr>
                <w:rFonts w:hint="eastAsia" w:ascii="宋体" w:hAnsi="宋体" w:cs="宋体"/>
              </w:rPr>
              <w:t>▲9.2系统具备正常呼吸音伴小孩哭声、小孩哭声伴小水泡音等儿童听诊特点。</w:t>
            </w:r>
          </w:p>
          <w:p>
            <w:pPr>
              <w:pStyle w:val="2"/>
              <w:spacing w:after="0"/>
              <w:rPr>
                <w:rFonts w:ascii="宋体" w:hAnsi="宋体" w:cs="宋体"/>
                <w:i/>
                <w:iCs/>
              </w:rPr>
            </w:pPr>
            <w:r>
              <w:rPr>
                <w:rFonts w:hint="eastAsia" w:ascii="宋体" w:hAnsi="宋体" w:cs="宋体"/>
              </w:rPr>
              <w:t>10.肺脏叩诊：叩诊包含叩诊方法、肺上界、肺下界和肺下界移动度相关的内容。</w:t>
            </w:r>
          </w:p>
          <w:p>
            <w:pPr>
              <w:rPr>
                <w:rFonts w:ascii="宋体" w:hAnsi="宋体" w:cs="宋体"/>
                <w:sz w:val="20"/>
                <w:szCs w:val="20"/>
              </w:rPr>
            </w:pPr>
            <w:r>
              <w:rPr>
                <w:rFonts w:hint="eastAsia" w:ascii="宋体" w:hAnsi="宋体" w:cs="宋体"/>
                <w:sz w:val="20"/>
                <w:szCs w:val="20"/>
              </w:rPr>
              <w:t>11.软件系统：支持服务器整体授权方式。</w:t>
            </w:r>
          </w:p>
          <w:p>
            <w:pPr>
              <w:rPr>
                <w:rFonts w:ascii="宋体" w:hAnsi="宋体" w:cs="宋体"/>
                <w:kern w:val="0"/>
                <w:sz w:val="20"/>
                <w:szCs w:val="20"/>
              </w:rPr>
            </w:pPr>
            <w:r>
              <w:rPr>
                <w:rFonts w:hint="eastAsia" w:ascii="宋体" w:hAnsi="宋体" w:cs="宋体"/>
                <w:sz w:val="20"/>
                <w:szCs w:val="20"/>
              </w:rPr>
              <w:t>11.1系统支持多种加密方式：在线序列号加密、离线文件加密、自定义短码激活、mac地址预置激活、服务器认证多种方便的激活方式。</w:t>
            </w:r>
          </w:p>
          <w:p>
            <w:pPr>
              <w:rPr>
                <w:rFonts w:ascii="宋体" w:hAnsi="宋体" w:cs="宋体"/>
                <w:sz w:val="20"/>
                <w:szCs w:val="20"/>
              </w:rPr>
            </w:pPr>
            <w:r>
              <w:rPr>
                <w:rFonts w:hint="eastAsia" w:ascii="宋体" w:hAnsi="宋体" w:cs="宋体"/>
                <w:sz w:val="20"/>
                <w:szCs w:val="20"/>
              </w:rPr>
              <w:t>11.2屏幕广播：广播多媒体课件，3D，支持DirectDraw、Direct3D、Overlay、OpenGL等特殊显示方式。</w:t>
            </w:r>
          </w:p>
          <w:p>
            <w:pPr>
              <w:rPr>
                <w:rFonts w:ascii="宋体" w:hAnsi="宋体" w:cs="宋体"/>
                <w:sz w:val="20"/>
                <w:szCs w:val="20"/>
              </w:rPr>
            </w:pPr>
            <w:r>
              <w:rPr>
                <w:rFonts w:hint="eastAsia" w:ascii="宋体" w:hAnsi="宋体" w:cs="宋体"/>
                <w:sz w:val="20"/>
                <w:szCs w:val="20"/>
              </w:rPr>
              <w:t>11.3网络视频：流畅无延时，文件清晰度几乎无损耗，支持720p、1080p的高清视频。脱机工作，以便教师在课前确认准备的片源是否可用；支持暂挂功能，记忆播放进度，以便教师下节课自动从上次暂停的地方继续播放。</w:t>
            </w:r>
          </w:p>
          <w:p>
            <w:pPr>
              <w:rPr>
                <w:rFonts w:ascii="宋体" w:hAnsi="宋体" w:cs="宋体"/>
                <w:sz w:val="20"/>
                <w:szCs w:val="20"/>
              </w:rPr>
            </w:pPr>
            <w:r>
              <w:rPr>
                <w:rFonts w:hint="eastAsia" w:ascii="宋体" w:hAnsi="宋体" w:cs="宋体"/>
                <w:sz w:val="20"/>
                <w:szCs w:val="20"/>
              </w:rPr>
              <w:t>11.4分组教学/讨论：同组师生支持多种方式进行交流，包括文字，表情，图片，语音等。</w:t>
            </w:r>
          </w:p>
          <w:p>
            <w:pPr>
              <w:rPr>
                <w:rFonts w:ascii="宋体" w:hAnsi="宋体" w:cs="宋体"/>
                <w:sz w:val="20"/>
                <w:szCs w:val="20"/>
              </w:rPr>
            </w:pPr>
            <w:r>
              <w:rPr>
                <w:rFonts w:hint="eastAsia" w:ascii="宋体" w:hAnsi="宋体" w:cs="宋体"/>
                <w:sz w:val="20"/>
                <w:szCs w:val="20"/>
              </w:rPr>
              <w:t>11.5屏幕录制：教师机可以将本地的操作和讲解过程录制为ASF录像文件，可以用自带的Media Player直接播放。</w:t>
            </w:r>
          </w:p>
          <w:p>
            <w:pPr>
              <w:rPr>
                <w:rFonts w:ascii="宋体" w:hAnsi="宋体" w:cs="宋体"/>
                <w:sz w:val="20"/>
                <w:szCs w:val="20"/>
              </w:rPr>
            </w:pPr>
            <w:r>
              <w:rPr>
                <w:rFonts w:hint="eastAsia" w:ascii="宋体" w:hAnsi="宋体" w:cs="宋体"/>
                <w:sz w:val="20"/>
                <w:szCs w:val="20"/>
              </w:rPr>
              <w:t>11.6文件管理：有文件分发、收集、提交功能，可拖拽添加文件，可限制学生提交文件的数目和大小，收集文件支持后缀名过滤。</w:t>
            </w:r>
          </w:p>
          <w:p>
            <w:pPr>
              <w:rPr>
                <w:rFonts w:ascii="宋体" w:hAnsi="宋体" w:cs="宋体"/>
                <w:sz w:val="20"/>
                <w:szCs w:val="20"/>
              </w:rPr>
            </w:pPr>
            <w:r>
              <w:rPr>
                <w:rFonts w:hint="eastAsia" w:ascii="宋体" w:hAnsi="宋体" w:cs="宋体"/>
                <w:sz w:val="20"/>
                <w:szCs w:val="20"/>
              </w:rPr>
              <w:t>11.7屏幕监视：教师机每屏可监视多个学生屏幕（不少于15个），并可保存学生画面的截图。</w:t>
            </w:r>
          </w:p>
          <w:p>
            <w:pPr>
              <w:rPr>
                <w:rFonts w:ascii="宋体" w:hAnsi="宋体" w:cs="宋体"/>
                <w:sz w:val="20"/>
                <w:szCs w:val="20"/>
              </w:rPr>
            </w:pPr>
            <w:r>
              <w:rPr>
                <w:rFonts w:hint="eastAsia" w:ascii="宋体" w:hAnsi="宋体" w:cs="宋体"/>
                <w:sz w:val="20"/>
                <w:szCs w:val="20"/>
              </w:rPr>
              <w:t>11.8网络白板：教师通过导入图片、文档或截图创建白板，将白板内容共享给学生，学生和教师可以共享在白板上通过绘图工具文本书写完成学习任务或绘画作品。教师也可以允许学生自己独立完成学习任务，教师可以在教师机上监看所有学生的完成情况。</w:t>
            </w:r>
          </w:p>
          <w:p>
            <w:pPr>
              <w:rPr>
                <w:rFonts w:ascii="宋体" w:hAnsi="宋体" w:cs="宋体"/>
                <w:sz w:val="20"/>
                <w:szCs w:val="20"/>
              </w:rPr>
            </w:pPr>
            <w:r>
              <w:rPr>
                <w:rFonts w:hint="eastAsia" w:ascii="宋体" w:hAnsi="宋体" w:cs="宋体"/>
                <w:sz w:val="20"/>
                <w:szCs w:val="20"/>
              </w:rPr>
              <w:t>11.9抢答和竞赛：教师可以出任意题目请学生作答，学生可抢答。答题方式包含：口头回答、文字输入作答、学生桌面演示作答。</w:t>
            </w:r>
          </w:p>
          <w:p>
            <w:pPr>
              <w:rPr>
                <w:rFonts w:ascii="宋体" w:hAnsi="宋体" w:cs="宋体"/>
                <w:sz w:val="20"/>
                <w:szCs w:val="20"/>
              </w:rPr>
            </w:pPr>
            <w:r>
              <w:rPr>
                <w:rFonts w:hint="eastAsia" w:ascii="宋体" w:hAnsi="宋体" w:cs="宋体"/>
                <w:sz w:val="20"/>
                <w:szCs w:val="20"/>
              </w:rPr>
              <w:t>11.10考试：</w:t>
            </w:r>
            <w:bookmarkStart w:id="105" w:name="OLE_LINK1"/>
            <w:r>
              <w:rPr>
                <w:rFonts w:hint="eastAsia" w:ascii="宋体" w:hAnsi="宋体" w:cs="宋体"/>
                <w:sz w:val="20"/>
                <w:szCs w:val="20"/>
              </w:rPr>
              <w:t>具备常规的试卷发放、交卷、阅卷等考试功能。</w:t>
            </w:r>
            <w:bookmarkEnd w:id="105"/>
          </w:p>
          <w:p>
            <w:pPr>
              <w:rPr>
                <w:rFonts w:ascii="宋体" w:hAnsi="宋体" w:cs="宋体"/>
                <w:sz w:val="20"/>
                <w:szCs w:val="20"/>
              </w:rPr>
            </w:pPr>
            <w:r>
              <w:rPr>
                <w:rFonts w:hint="eastAsia" w:ascii="宋体" w:hAnsi="宋体" w:cs="宋体"/>
                <w:sz w:val="20"/>
                <w:szCs w:val="20"/>
              </w:rPr>
              <w:t>11.11阅卷评分：收取的试卷系统可自动评分，教师可添加批注，查看柱状图显示的考试统计结果，并能够将评分结果以网页形式发送给相应的学生。</w:t>
            </w:r>
          </w:p>
          <w:p>
            <w:pPr>
              <w:rPr>
                <w:rFonts w:ascii="宋体" w:hAnsi="宋体" w:cs="宋体"/>
                <w:sz w:val="20"/>
                <w:szCs w:val="20"/>
              </w:rPr>
            </w:pPr>
            <w:r>
              <w:rPr>
                <w:rFonts w:hint="eastAsia" w:ascii="宋体" w:hAnsi="宋体" w:cs="宋体"/>
                <w:sz w:val="20"/>
                <w:szCs w:val="20"/>
              </w:rPr>
              <w:t>11.12班级模型：获取学生端计算机的名称、登录名、学生端应用程序、进程和进程 ID，远程终止学生端进程，显示学生机桌面的缩图。</w:t>
            </w:r>
          </w:p>
          <w:p>
            <w:pPr>
              <w:rPr>
                <w:rFonts w:ascii="宋体" w:hAnsi="宋体" w:cs="宋体"/>
                <w:sz w:val="20"/>
                <w:szCs w:val="20"/>
              </w:rPr>
            </w:pPr>
            <w:r>
              <w:rPr>
                <w:rFonts w:hint="eastAsia" w:ascii="宋体" w:hAnsi="宋体" w:cs="宋体"/>
                <w:sz w:val="20"/>
                <w:szCs w:val="20"/>
              </w:rPr>
              <w:t>11.13学生限制：设置上网限制、应用程序限制、USB和CD使用限制等，对不同学生设置不同的限制策略，查看当前的学生电脑界面，上网限制支持多浏览器。</w:t>
            </w:r>
          </w:p>
          <w:p>
            <w:pPr>
              <w:rPr>
                <w:rFonts w:ascii="宋体" w:hAnsi="宋体" w:cs="宋体"/>
                <w:sz w:val="20"/>
                <w:szCs w:val="20"/>
              </w:rPr>
            </w:pPr>
            <w:r>
              <w:rPr>
                <w:rFonts w:hint="eastAsia" w:ascii="宋体" w:hAnsi="宋体" w:cs="宋体"/>
                <w:sz w:val="20"/>
                <w:szCs w:val="20"/>
              </w:rPr>
              <w:t xml:space="preserve"> 三、腹部检查教学训练系统：</w:t>
            </w:r>
          </w:p>
          <w:p>
            <w:pPr>
              <w:rPr>
                <w:rFonts w:ascii="宋体" w:hAnsi="宋体" w:cs="宋体"/>
                <w:sz w:val="20"/>
                <w:szCs w:val="20"/>
              </w:rPr>
            </w:pPr>
            <w:r>
              <w:rPr>
                <w:rFonts w:hint="eastAsia" w:ascii="宋体" w:hAnsi="宋体" w:cs="宋体"/>
                <w:sz w:val="20"/>
                <w:szCs w:val="20"/>
              </w:rPr>
              <w:t>腹部检查教学训练系统模拟人为成年女性半身模型，体表标志清晰。体表皮肤触感柔软、光滑，深部触诊手感软硬度模拟真实人体，结合教学大纲强化腹部的体格检查。</w:t>
            </w:r>
          </w:p>
          <w:p>
            <w:pPr>
              <w:rPr>
                <w:rFonts w:ascii="宋体" w:hAnsi="宋体" w:cs="宋体"/>
                <w:sz w:val="20"/>
                <w:szCs w:val="20"/>
              </w:rPr>
            </w:pPr>
            <w:r>
              <w:rPr>
                <w:rFonts w:hint="eastAsia" w:ascii="宋体" w:hAnsi="宋体" w:cs="宋体"/>
                <w:sz w:val="20"/>
                <w:szCs w:val="20"/>
              </w:rPr>
              <w:t>▲1.基础知识：系统应具备腹部解剖及常用体表标志、腹部的分区方法和常用体位的教学；可模拟腹式呼吸，呼吸幅度可调节，呼吸频率≥5种可调节模式；</w:t>
            </w:r>
          </w:p>
          <w:p>
            <w:pPr>
              <w:rPr>
                <w:rFonts w:ascii="宋体" w:hAnsi="宋体" w:cs="宋体"/>
                <w:sz w:val="20"/>
                <w:szCs w:val="20"/>
              </w:rPr>
            </w:pPr>
            <w:r>
              <w:rPr>
                <w:rFonts w:hint="eastAsia" w:ascii="宋体" w:hAnsi="宋体" w:cs="宋体"/>
                <w:sz w:val="20"/>
                <w:szCs w:val="20"/>
              </w:rPr>
              <w:t>2.腹部视诊：采用生动的视频动画或三维交互表现形式，进行多方位教学演示。</w:t>
            </w:r>
          </w:p>
          <w:p>
            <w:pPr>
              <w:rPr>
                <w:rFonts w:ascii="宋体" w:hAnsi="宋体" w:cs="宋体"/>
                <w:sz w:val="20"/>
                <w:szCs w:val="20"/>
              </w:rPr>
            </w:pPr>
            <w:r>
              <w:rPr>
                <w:rFonts w:hint="eastAsia" w:ascii="宋体" w:hAnsi="宋体" w:cs="宋体"/>
                <w:sz w:val="20"/>
                <w:szCs w:val="20"/>
              </w:rPr>
              <w:t>▲视诊应包含≥ 20 种不同的视诊体征教学，包含腹部外形（平坦、低平等）、腹壁（皮疹、瘢痕等）、腹部静脉（上腔静脉梗阻、下腔静脉梗阻等）、胃肠型及蠕动波（胃型、蠕动波等）、上腹部搏动等相关的内容。</w:t>
            </w:r>
          </w:p>
          <w:p>
            <w:pPr>
              <w:rPr>
                <w:rFonts w:ascii="宋体" w:hAnsi="宋体" w:cs="宋体"/>
                <w:sz w:val="20"/>
                <w:szCs w:val="20"/>
              </w:rPr>
            </w:pPr>
            <w:r>
              <w:rPr>
                <w:rFonts w:hint="eastAsia" w:ascii="宋体" w:hAnsi="宋体" w:cs="宋体"/>
                <w:b/>
                <w:sz w:val="20"/>
                <w:szCs w:val="20"/>
              </w:rPr>
              <w:t>●</w:t>
            </w:r>
            <w:r>
              <w:rPr>
                <w:rFonts w:hint="eastAsia" w:ascii="宋体" w:hAnsi="宋体" w:cs="宋体"/>
                <w:sz w:val="20"/>
                <w:szCs w:val="20"/>
              </w:rPr>
              <w:t>3.腹部叩诊：叩诊应包含≥ 6种内容，包含腹部叩诊方法、肝浊音界、胃泡鼓音区等；叩痛包含：肋脊角叩痛、肝区叩痛相关的内容。</w:t>
            </w:r>
          </w:p>
          <w:p>
            <w:pPr>
              <w:rPr>
                <w:rFonts w:ascii="宋体" w:hAnsi="宋体" w:cs="宋体"/>
                <w:sz w:val="20"/>
                <w:szCs w:val="20"/>
              </w:rPr>
            </w:pPr>
            <w:r>
              <w:rPr>
                <w:rFonts w:hint="eastAsia" w:ascii="宋体" w:hAnsi="宋体" w:cs="宋体"/>
                <w:sz w:val="20"/>
                <w:szCs w:val="20"/>
              </w:rPr>
              <w:t>▲3.1肝区叩痛可设置有/无，系统显示视频与教学讲解，可与模型进行病例互动，模拟人语音发声回馈操作反应。</w:t>
            </w:r>
          </w:p>
          <w:p>
            <w:pPr>
              <w:rPr>
                <w:rFonts w:ascii="宋体" w:hAnsi="宋体" w:cs="宋体"/>
                <w:sz w:val="20"/>
                <w:szCs w:val="20"/>
              </w:rPr>
            </w:pPr>
            <w:r>
              <w:rPr>
                <w:rFonts w:hint="eastAsia" w:ascii="宋体" w:hAnsi="宋体" w:cs="宋体"/>
                <w:sz w:val="20"/>
                <w:szCs w:val="20"/>
              </w:rPr>
              <w:t>3.2可进行互动模拟肝浊音界、胃泡鼓音区2种叩诊体征，脾脏叩诊、移动性浊音、水坑实验、膀胱叩诊、肋脊角叩痛等至少5种叩诊体征。</w:t>
            </w:r>
          </w:p>
          <w:p>
            <w:pPr>
              <w:rPr>
                <w:rFonts w:ascii="宋体" w:hAnsi="宋体" w:cs="宋体"/>
                <w:sz w:val="20"/>
                <w:szCs w:val="20"/>
              </w:rPr>
            </w:pPr>
            <w:r>
              <w:rPr>
                <w:rFonts w:hint="eastAsia" w:ascii="宋体" w:hAnsi="宋体" w:cs="宋体"/>
                <w:b/>
                <w:sz w:val="20"/>
                <w:szCs w:val="20"/>
              </w:rPr>
              <w:t>●</w:t>
            </w:r>
            <w:r>
              <w:rPr>
                <w:rFonts w:hint="eastAsia" w:ascii="宋体" w:hAnsi="宋体" w:cs="宋体"/>
                <w:sz w:val="20"/>
                <w:szCs w:val="20"/>
              </w:rPr>
              <w:t>4.腹部听诊：</w:t>
            </w:r>
          </w:p>
          <w:p>
            <w:pPr>
              <w:rPr>
                <w:rFonts w:ascii="宋体" w:hAnsi="宋体" w:cs="宋体"/>
                <w:sz w:val="20"/>
                <w:szCs w:val="20"/>
              </w:rPr>
            </w:pPr>
            <w:r>
              <w:rPr>
                <w:rFonts w:hint="eastAsia" w:ascii="宋体" w:hAnsi="宋体" w:cs="宋体"/>
                <w:sz w:val="20"/>
                <w:szCs w:val="20"/>
              </w:rPr>
              <w:t>腹部听诊包含至少5种肠鸣音、6处血管杂音以及摩擦音和搔刮试验等相关内容。</w:t>
            </w:r>
          </w:p>
          <w:p>
            <w:pPr>
              <w:rPr>
                <w:rFonts w:ascii="宋体" w:hAnsi="宋体" w:cs="宋体"/>
                <w:sz w:val="20"/>
                <w:szCs w:val="20"/>
              </w:rPr>
            </w:pPr>
            <w:r>
              <w:rPr>
                <w:rFonts w:hint="eastAsia" w:ascii="宋体" w:hAnsi="宋体" w:cs="宋体"/>
                <w:sz w:val="20"/>
                <w:szCs w:val="20"/>
              </w:rPr>
              <w:t>5.腹部触诊：</w:t>
            </w:r>
          </w:p>
          <w:p>
            <w:pPr>
              <w:rPr>
                <w:rFonts w:ascii="宋体" w:hAnsi="宋体" w:cs="宋体"/>
                <w:sz w:val="20"/>
                <w:szCs w:val="20"/>
              </w:rPr>
            </w:pPr>
            <w:r>
              <w:rPr>
                <w:rFonts w:hint="eastAsia" w:ascii="宋体" w:hAnsi="宋体" w:cs="宋体"/>
                <w:sz w:val="20"/>
                <w:szCs w:val="20"/>
              </w:rPr>
              <w:t>5.1触诊包含触诊顺序、腹壁紧张度、压痛及反跳痛等≥ 11种相关的内容。</w:t>
            </w:r>
          </w:p>
          <w:p>
            <w:pPr>
              <w:pStyle w:val="2"/>
              <w:spacing w:after="0"/>
              <w:rPr>
                <w:rFonts w:ascii="宋体" w:hAnsi="宋体" w:cs="宋体"/>
              </w:rPr>
            </w:pPr>
            <w:r>
              <w:rPr>
                <w:rFonts w:hint="eastAsia" w:ascii="宋体" w:hAnsi="宋体" w:cs="宋体"/>
              </w:rPr>
              <w:t>▲5-2.腹部模型可模拟胆囊点、胃、胰腺点、左季肋点/脾脏、肝脏/右季肋点、麦氏点、左附件、右附件至少13个部位的压痛、反跳痛触诊点；相关压痛可选择无/轻/重模式。</w:t>
            </w:r>
            <w:r>
              <w:rPr>
                <w:rFonts w:hint="eastAsia" w:ascii="宋体" w:hAnsi="宋体" w:cs="宋体"/>
                <w:b/>
                <w:bCs/>
              </w:rPr>
              <w:t>（需提供软件功能截图）</w:t>
            </w:r>
          </w:p>
          <w:p>
            <w:pPr>
              <w:pStyle w:val="2"/>
              <w:spacing w:after="0"/>
              <w:rPr>
                <w:rFonts w:ascii="宋体" w:hAnsi="宋体" w:cs="宋体"/>
              </w:rPr>
            </w:pPr>
            <w:r>
              <w:rPr>
                <w:rFonts w:hint="eastAsia" w:ascii="宋体" w:hAnsi="宋体" w:cs="宋体"/>
              </w:rPr>
              <w:t>▲5-3.肝脏触诊：肝脏触诊可以模拟任意不同级别大小的体征改变；可选单手/双手触诊法，肝脏设置范围可精确到0.1 cm进行任意大小调节。</w:t>
            </w:r>
            <w:r>
              <w:rPr>
                <w:rFonts w:hint="eastAsia" w:ascii="宋体" w:hAnsi="宋体" w:cs="宋体"/>
                <w:b/>
                <w:bCs/>
              </w:rPr>
              <w:t>（需提供软件功能截图）</w:t>
            </w:r>
          </w:p>
          <w:p>
            <w:pPr>
              <w:rPr>
                <w:rFonts w:ascii="宋体" w:hAnsi="宋体" w:cs="宋体"/>
                <w:sz w:val="20"/>
                <w:szCs w:val="20"/>
              </w:rPr>
            </w:pPr>
            <w:r>
              <w:rPr>
                <w:rFonts w:hint="eastAsia" w:ascii="宋体" w:hAnsi="宋体" w:cs="宋体"/>
                <w:sz w:val="20"/>
                <w:szCs w:val="20"/>
              </w:rPr>
              <w:t>▲5.4脾脏触诊：可以模拟任意不同级别大小的体征改变，范围可精确到0.1 cm进行任意大小调节；可针对教学内容进行脾脏轻度肿大、中度肿大以及高度肿大测量。</w:t>
            </w:r>
          </w:p>
          <w:p>
            <w:pPr>
              <w:rPr>
                <w:rFonts w:ascii="宋体" w:hAnsi="宋体" w:cs="宋体"/>
                <w:sz w:val="20"/>
                <w:szCs w:val="20"/>
              </w:rPr>
            </w:pPr>
            <w:r>
              <w:rPr>
                <w:rFonts w:hint="eastAsia" w:ascii="宋体" w:hAnsi="宋体" w:cs="宋体"/>
                <w:sz w:val="20"/>
                <w:szCs w:val="20"/>
              </w:rPr>
              <w:t>5.5胆囊触诊时可表现墨菲氏征阳性检查。</w:t>
            </w:r>
          </w:p>
          <w:p>
            <w:pPr>
              <w:pStyle w:val="209"/>
              <w:ind w:firstLine="0" w:firstLineChars="0"/>
              <w:rPr>
                <w:rFonts w:ascii="宋体" w:hAnsi="宋体" w:cs="宋体"/>
                <w:sz w:val="20"/>
                <w:szCs w:val="20"/>
              </w:rPr>
            </w:pPr>
            <w:r>
              <w:rPr>
                <w:rFonts w:hint="eastAsia" w:ascii="宋体" w:hAnsi="宋体" w:cs="宋体"/>
                <w:sz w:val="20"/>
                <w:szCs w:val="20"/>
              </w:rPr>
              <w:t>▲6.模拟人具有故障检测及警示功能，可提示具体故障点。具有胃镜、肠镜及支气管镜检查：包括上消化道内镜检查、下消化道内镜检查、纤维支气管镜检查。</w:t>
            </w:r>
          </w:p>
          <w:p>
            <w:pPr>
              <w:pStyle w:val="209"/>
              <w:ind w:firstLine="0" w:firstLineChars="0"/>
              <w:rPr>
                <w:rFonts w:ascii="宋体" w:hAnsi="宋体" w:cs="宋体"/>
                <w:sz w:val="20"/>
                <w:szCs w:val="20"/>
              </w:rPr>
            </w:pPr>
            <w:r>
              <w:rPr>
                <w:rFonts w:hint="eastAsia" w:ascii="宋体" w:hAnsi="宋体" w:cs="宋体"/>
                <w:sz w:val="20"/>
                <w:szCs w:val="20"/>
              </w:rPr>
              <w:t>▲6.1具有“交互模式”可模拟进镜、退镜、切换工具、使用工具等操作；可选择导航进入和手动进入</w:t>
            </w:r>
            <w:r>
              <w:rPr>
                <w:rFonts w:hint="eastAsia"/>
                <w:sz w:val="20"/>
                <w:szCs w:val="20"/>
              </w:rPr>
              <w:t>（</w:t>
            </w:r>
            <w:r>
              <w:rPr>
                <w:rFonts w:hint="eastAsia"/>
                <w:b/>
                <w:bCs/>
                <w:sz w:val="20"/>
                <w:szCs w:val="20"/>
              </w:rPr>
              <w:t>需提供软件功能截图）</w:t>
            </w:r>
            <w:r>
              <w:rPr>
                <w:rFonts w:hint="eastAsia" w:ascii="宋体" w:hAnsi="宋体" w:cs="宋体"/>
                <w:sz w:val="20"/>
                <w:szCs w:val="20"/>
              </w:rPr>
              <w:t>；</w:t>
            </w:r>
          </w:p>
          <w:p>
            <w:pPr>
              <w:pStyle w:val="209"/>
              <w:ind w:firstLine="0" w:firstLineChars="0"/>
              <w:rPr>
                <w:rFonts w:ascii="宋体" w:hAnsi="宋体" w:cs="宋体"/>
                <w:sz w:val="20"/>
                <w:szCs w:val="20"/>
              </w:rPr>
            </w:pPr>
            <w:r>
              <w:rPr>
                <w:rFonts w:hint="eastAsia" w:ascii="宋体" w:hAnsi="宋体" w:cs="宋体"/>
                <w:sz w:val="20"/>
                <w:szCs w:val="20"/>
              </w:rPr>
              <w:t>▲6.2具有相应教学内容：3D解剖复习、适应证、禁忌证、术前准备、内镜的构造及附件应用演示、模拟正常手动进镜实际操作、常见病病例操作，常用的简单手术操作如夹持、钳切、刷检、止血、灌洗等操作，在内镜并发症之后，列有诊断练习供学员练习诊断教学</w:t>
            </w:r>
            <w:r>
              <w:rPr>
                <w:rFonts w:hint="eastAsia"/>
                <w:sz w:val="20"/>
                <w:szCs w:val="20"/>
              </w:rPr>
              <w:t>（</w:t>
            </w:r>
            <w:r>
              <w:rPr>
                <w:rFonts w:hint="eastAsia"/>
                <w:b/>
                <w:bCs/>
                <w:sz w:val="20"/>
                <w:szCs w:val="20"/>
              </w:rPr>
              <w:t>需提供软件功能截图）</w:t>
            </w:r>
            <w:r>
              <w:rPr>
                <w:rFonts w:hint="eastAsia" w:ascii="宋体" w:hAnsi="宋体" w:cs="宋体"/>
                <w:sz w:val="20"/>
                <w:szCs w:val="20"/>
              </w:rPr>
              <w:t>。</w:t>
            </w:r>
          </w:p>
          <w:p>
            <w:pPr>
              <w:pStyle w:val="209"/>
              <w:ind w:firstLine="0" w:firstLineChars="0"/>
              <w:rPr>
                <w:rFonts w:ascii="宋体" w:hAnsi="宋体" w:cs="宋体"/>
                <w:sz w:val="20"/>
                <w:szCs w:val="20"/>
              </w:rPr>
            </w:pPr>
            <w:r>
              <w:rPr>
                <w:rFonts w:hint="eastAsia" w:ascii="宋体" w:hAnsi="宋体" w:cs="宋体"/>
                <w:sz w:val="20"/>
                <w:szCs w:val="20"/>
              </w:rPr>
              <w:t>6.3具有“诊断练习”功能，可进行自我检测，随机病例操作配合选择模式；</w:t>
            </w:r>
          </w:p>
          <w:p>
            <w:pPr>
              <w:pStyle w:val="209"/>
              <w:ind w:firstLine="0" w:firstLineChars="0"/>
              <w:rPr>
                <w:rFonts w:ascii="宋体" w:hAnsi="宋体" w:cs="宋体"/>
                <w:sz w:val="20"/>
                <w:szCs w:val="20"/>
              </w:rPr>
            </w:pPr>
            <w:r>
              <w:rPr>
                <w:rFonts w:hint="eastAsia" w:ascii="宋体" w:hAnsi="宋体" w:cs="宋体"/>
                <w:sz w:val="20"/>
                <w:szCs w:val="20"/>
              </w:rPr>
              <w:t>6.4可模拟真实的器官结构及粘膜图像，体现管腔的空间位置及镜下视野；</w:t>
            </w:r>
          </w:p>
          <w:p>
            <w:pPr>
              <w:pStyle w:val="209"/>
              <w:ind w:firstLine="0" w:firstLineChars="0"/>
              <w:rPr>
                <w:rFonts w:ascii="宋体" w:hAnsi="宋体" w:cs="宋体"/>
                <w:sz w:val="20"/>
                <w:szCs w:val="20"/>
              </w:rPr>
            </w:pPr>
            <w:r>
              <w:rPr>
                <w:rFonts w:hint="eastAsia" w:ascii="宋体" w:hAnsi="宋体" w:cs="宋体"/>
                <w:sz w:val="20"/>
                <w:szCs w:val="20"/>
              </w:rPr>
              <w:t>▲6.5设有“支气管各段及镜下所见”功能，采用示意图与真实图像相结合的方式，可实时显示支气管各段名称，并配有各段开口处真实镜下所见图像；</w:t>
            </w:r>
          </w:p>
          <w:p>
            <w:pPr>
              <w:pStyle w:val="209"/>
              <w:ind w:firstLine="0" w:firstLineChars="0"/>
              <w:rPr>
                <w:rFonts w:ascii="宋体" w:hAnsi="宋体" w:cs="宋体"/>
                <w:sz w:val="20"/>
                <w:szCs w:val="20"/>
              </w:rPr>
            </w:pPr>
            <w:r>
              <w:rPr>
                <w:rFonts w:hint="eastAsia" w:ascii="宋体" w:hAnsi="宋体" w:cs="宋体"/>
                <w:sz w:val="20"/>
                <w:szCs w:val="20"/>
              </w:rPr>
              <w:t>▲6.6模拟不少于30种内镜病例，可进行对常见病及多发病的镜下诊断及鉴别诊断；</w:t>
            </w:r>
          </w:p>
          <w:p>
            <w:pPr>
              <w:pStyle w:val="209"/>
              <w:ind w:firstLine="0" w:firstLineChars="0"/>
              <w:rPr>
                <w:rFonts w:ascii="宋体" w:hAnsi="宋体" w:cs="宋体"/>
                <w:sz w:val="20"/>
                <w:szCs w:val="20"/>
              </w:rPr>
            </w:pPr>
            <w:r>
              <w:rPr>
                <w:rFonts w:hint="eastAsia" w:ascii="宋体" w:hAnsi="宋体" w:cs="宋体"/>
                <w:sz w:val="20"/>
                <w:szCs w:val="20"/>
              </w:rPr>
              <w:t>6.7具有术前准备及术后处理配合教学内容；</w:t>
            </w:r>
          </w:p>
          <w:p>
            <w:pPr>
              <w:pStyle w:val="209"/>
              <w:ind w:firstLine="0" w:firstLineChars="0"/>
              <w:rPr>
                <w:rFonts w:ascii="宋体" w:hAnsi="宋体" w:cs="宋体"/>
                <w:sz w:val="20"/>
                <w:szCs w:val="20"/>
              </w:rPr>
            </w:pPr>
            <w:r>
              <w:rPr>
                <w:rFonts w:hint="eastAsia" w:ascii="宋体" w:hAnsi="宋体" w:cs="宋体"/>
                <w:sz w:val="20"/>
                <w:szCs w:val="20"/>
              </w:rPr>
              <w:t>6.8采用3D图像表现内镜发展史，具有内镜附件使用教学，从整体到细节的介绍附件使用；</w:t>
            </w:r>
          </w:p>
          <w:p>
            <w:pPr>
              <w:pStyle w:val="209"/>
              <w:ind w:firstLine="0" w:firstLineChars="0"/>
              <w:rPr>
                <w:rFonts w:ascii="宋体" w:hAnsi="宋体" w:cs="宋体"/>
                <w:sz w:val="20"/>
                <w:szCs w:val="20"/>
              </w:rPr>
            </w:pPr>
            <w:r>
              <w:rPr>
                <w:rFonts w:hint="eastAsia" w:ascii="宋体" w:hAnsi="宋体" w:cs="宋体"/>
                <w:sz w:val="20"/>
                <w:szCs w:val="20"/>
              </w:rPr>
              <w:t>▲6.9肠镜检查时可实现实时的透视图提醒，可让操作者了解肠镜所在的位置；</w:t>
            </w:r>
          </w:p>
          <w:p>
            <w:pPr>
              <w:pStyle w:val="209"/>
              <w:ind w:firstLine="0" w:firstLineChars="0"/>
              <w:rPr>
                <w:rFonts w:ascii="宋体" w:hAnsi="宋体" w:cs="宋体"/>
              </w:rPr>
            </w:pPr>
            <w:r>
              <w:rPr>
                <w:rFonts w:hint="eastAsia" w:ascii="宋体" w:hAnsi="宋体" w:cs="宋体"/>
                <w:sz w:val="20"/>
                <w:szCs w:val="20"/>
              </w:rPr>
              <w:t>▲6.10操作模式分为手动和导航模式，可满足教师与学生不同的操作需求。</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rPr>
            </w:pPr>
            <w:r>
              <w:rPr>
                <w:rFonts w:hint="eastAsia" w:ascii="宋体" w:hAnsi="宋体" w:cs="宋体"/>
              </w:rPr>
              <w:t>2</w:t>
            </w:r>
          </w:p>
        </w:tc>
        <w:tc>
          <w:tcPr>
            <w:tcW w:w="1682" w:type="dxa"/>
            <w:vAlign w:val="center"/>
          </w:tcPr>
          <w:p>
            <w:pPr>
              <w:jc w:val="center"/>
              <w:rPr>
                <w:rFonts w:ascii="宋体" w:hAnsi="宋体" w:cs="宋体"/>
              </w:rPr>
            </w:pPr>
            <w:r>
              <w:rPr>
                <w:rFonts w:hint="eastAsia" w:ascii="宋体" w:hAnsi="宋体" w:cs="宋体"/>
              </w:rPr>
              <w:t>胸、腹部检查智能模拟训练系统  网络版－学生终端机</w:t>
            </w:r>
          </w:p>
        </w:tc>
        <w:tc>
          <w:tcPr>
            <w:tcW w:w="5988" w:type="dxa"/>
          </w:tcPr>
          <w:p>
            <w:pPr>
              <w:pStyle w:val="2"/>
              <w:spacing w:after="0"/>
              <w:rPr>
                <w:rFonts w:ascii="宋体" w:hAnsi="宋体" w:cs="宋体"/>
              </w:rPr>
            </w:pPr>
            <w:r>
              <w:rPr>
                <w:rFonts w:hint="eastAsia" w:ascii="宋体" w:hAnsi="宋体" w:cs="宋体"/>
              </w:rPr>
              <w:t>功能参数</w:t>
            </w:r>
          </w:p>
          <w:p>
            <w:pPr>
              <w:pStyle w:val="2"/>
              <w:spacing w:after="0"/>
              <w:rPr>
                <w:rFonts w:ascii="宋体" w:hAnsi="宋体" w:cs="宋体"/>
              </w:rPr>
            </w:pPr>
            <w:r>
              <w:rPr>
                <w:rFonts w:hint="eastAsia" w:ascii="宋体" w:hAnsi="宋体" w:cs="宋体"/>
              </w:rPr>
              <w:t>一、教学系统：</w:t>
            </w:r>
          </w:p>
          <w:p>
            <w:pPr>
              <w:pStyle w:val="2"/>
              <w:spacing w:after="0"/>
              <w:rPr>
                <w:rFonts w:ascii="宋体" w:hAnsi="宋体" w:cs="宋体"/>
                <w:i/>
                <w:iCs/>
              </w:rPr>
            </w:pPr>
            <w:r>
              <w:rPr>
                <w:rFonts w:hint="eastAsia" w:ascii="宋体" w:hAnsi="宋体" w:cs="宋体"/>
              </w:rPr>
              <w:t>1.系统针对诊断学教材（Diagnostics）课程体系满足“胸腹部体格检查”的相关内容，贴合教学大纲，能够实现智能模拟人与计算机虚拟技术的系统相融合，完整体现诊断学胸部“视、触、叩、听”腹部“视、听、触、叩”的技能训练与考核。</w:t>
            </w:r>
          </w:p>
          <w:p>
            <w:pPr>
              <w:pStyle w:val="2"/>
              <w:spacing w:after="0"/>
              <w:rPr>
                <w:rFonts w:ascii="宋体" w:hAnsi="宋体" w:cs="宋体"/>
                <w:i/>
                <w:iCs/>
              </w:rPr>
            </w:pPr>
            <w:r>
              <w:rPr>
                <w:rFonts w:hint="eastAsia" w:ascii="宋体" w:hAnsi="宋体" w:cs="宋体"/>
              </w:rPr>
              <w:t>2.软件应系统具有三维互动视觉体验，形象阐释病理体征的解剖变化以及听诊音产生机理，界面生动，操作简捷；智能模拟人应内衬真实的骨骼结构，体表标志清晰，皮肤触感真实、柔软，光滑，满足体表定位需求；</w:t>
            </w:r>
          </w:p>
          <w:p>
            <w:pPr>
              <w:pStyle w:val="2"/>
              <w:spacing w:after="0"/>
              <w:rPr>
                <w:rFonts w:ascii="宋体" w:hAnsi="宋体" w:cs="宋体"/>
                <w:i/>
                <w:iCs/>
              </w:rPr>
            </w:pPr>
            <w:r>
              <w:rPr>
                <w:rFonts w:hint="eastAsia" w:ascii="宋体" w:hAnsi="宋体" w:cs="宋体"/>
              </w:rPr>
              <w:t>3.具有听诊扩展功能，可支持不少于4人同时听诊，可设置听诊音量，每个听诊终端也可分别自主调节听诊音量大小；</w:t>
            </w:r>
          </w:p>
          <w:p>
            <w:pPr>
              <w:pStyle w:val="2"/>
              <w:spacing w:after="0"/>
              <w:rPr>
                <w:rFonts w:ascii="宋体" w:hAnsi="宋体" w:cs="宋体"/>
                <w:i/>
                <w:iCs/>
              </w:rPr>
            </w:pPr>
            <w:r>
              <w:rPr>
                <w:rFonts w:hint="eastAsia" w:ascii="宋体" w:hAnsi="宋体" w:cs="宋体"/>
              </w:rPr>
              <w:t>4.题库内置视、触、叩、听等理论题和技能题不少于300题。</w:t>
            </w:r>
          </w:p>
          <w:p>
            <w:pPr>
              <w:pStyle w:val="2"/>
              <w:spacing w:after="0"/>
              <w:rPr>
                <w:rFonts w:ascii="宋体" w:hAnsi="宋体" w:cs="宋体"/>
                <w:i/>
                <w:iCs/>
              </w:rPr>
            </w:pPr>
            <w:r>
              <w:rPr>
                <w:rFonts w:hint="eastAsia" w:ascii="宋体" w:hAnsi="宋体" w:cs="宋体"/>
              </w:rPr>
              <w:t>5.可进行自我练习或自我考核等。</w:t>
            </w:r>
          </w:p>
          <w:p>
            <w:pPr>
              <w:pStyle w:val="2"/>
              <w:spacing w:after="0"/>
              <w:rPr>
                <w:rFonts w:ascii="宋体" w:hAnsi="宋体" w:cs="宋体"/>
                <w:i/>
                <w:iCs/>
                <w:color w:val="0000FF"/>
              </w:rPr>
            </w:pPr>
            <w:r>
              <w:rPr>
                <w:rFonts w:hint="eastAsia" w:ascii="宋体" w:hAnsi="宋体" w:cs="宋体"/>
              </w:rPr>
              <w:t>6.系统具有计算机软件类似著作权登记证书</w:t>
            </w:r>
            <w:r>
              <w:rPr>
                <w:rFonts w:hint="eastAsia" w:ascii="宋体" w:hAnsi="宋体" w:cs="宋体"/>
                <w:color w:val="0000FF"/>
              </w:rPr>
              <w:t>。</w:t>
            </w:r>
          </w:p>
          <w:p>
            <w:pPr>
              <w:pStyle w:val="2"/>
              <w:spacing w:after="0"/>
              <w:rPr>
                <w:rFonts w:ascii="宋体" w:hAnsi="宋体" w:cs="宋体"/>
                <w:i/>
                <w:iCs/>
              </w:rPr>
            </w:pPr>
            <w:r>
              <w:rPr>
                <w:rFonts w:hint="eastAsia" w:ascii="宋体" w:hAnsi="宋体" w:cs="宋体"/>
              </w:rPr>
              <w:t>7.配套自动升降多功能转换实验台，占地面积不超过1.6m×0.8m，触诊桌面可翻转并可自由上升或下降到学生需要的高度，可拓展实验室用途。</w:t>
            </w:r>
          </w:p>
          <w:p>
            <w:pPr>
              <w:rPr>
                <w:rFonts w:ascii="宋体" w:hAnsi="宋体" w:cs="宋体"/>
              </w:rPr>
            </w:pPr>
            <w:r>
              <w:rPr>
                <w:rFonts w:hint="eastAsia" w:ascii="宋体" w:hAnsi="宋体" w:cs="宋体"/>
              </w:rPr>
              <w:t>二、胸部检查教学训练系统：</w:t>
            </w:r>
          </w:p>
          <w:p>
            <w:pPr>
              <w:pStyle w:val="2"/>
              <w:spacing w:after="0"/>
              <w:rPr>
                <w:rFonts w:ascii="宋体" w:hAnsi="宋体" w:cs="宋体"/>
                <w:i/>
                <w:iCs/>
              </w:rPr>
            </w:pPr>
            <w:r>
              <w:rPr>
                <w:rFonts w:hint="eastAsia" w:ascii="宋体" w:hAnsi="宋体" w:cs="宋体"/>
              </w:rPr>
              <w:t>胸部检查教学训练系统模拟人为成年男性半身模型，体表皮肤触感柔软、光滑，体表标志清晰。模型内衬真实的骨骼结构、体表标志清晰，满足体表定位需求。系统包括：心脏基础知识，心脏视诊、叩诊、触诊、听诊及肺脏检查，肺脏视诊、触诊、叩诊、听诊、肺脏听诊常见病例。</w:t>
            </w:r>
          </w:p>
          <w:p>
            <w:pPr>
              <w:pStyle w:val="2"/>
              <w:spacing w:after="0"/>
              <w:rPr>
                <w:rFonts w:ascii="宋体" w:hAnsi="宋体" w:cs="宋体"/>
                <w:i/>
                <w:iCs/>
              </w:rPr>
            </w:pPr>
            <w:r>
              <w:rPr>
                <w:rFonts w:hint="eastAsia" w:ascii="宋体" w:hAnsi="宋体" w:cs="宋体"/>
              </w:rPr>
              <w:t>1.心脏基础知识：</w:t>
            </w:r>
          </w:p>
          <w:p>
            <w:pPr>
              <w:pStyle w:val="2"/>
              <w:spacing w:after="0"/>
              <w:rPr>
                <w:rFonts w:ascii="宋体" w:hAnsi="宋体" w:cs="宋体"/>
                <w:i/>
                <w:iCs/>
              </w:rPr>
            </w:pPr>
            <w:r>
              <w:rPr>
                <w:rFonts w:hint="eastAsia" w:ascii="宋体" w:hAnsi="宋体" w:cs="宋体"/>
              </w:rPr>
              <w:t>1.1三维互动视觉体验任意360°立体查看心脏不同角度的解剖结构并可快速定位旋转及放大缩小，可显示当前指定的各种不同解剖部位名称。</w:t>
            </w:r>
          </w:p>
          <w:p>
            <w:pPr>
              <w:pStyle w:val="2"/>
              <w:spacing w:after="0"/>
              <w:rPr>
                <w:rFonts w:ascii="宋体" w:hAnsi="宋体" w:cs="宋体"/>
                <w:i/>
                <w:iCs/>
              </w:rPr>
            </w:pPr>
            <w:r>
              <w:rPr>
                <w:rFonts w:hint="eastAsia" w:ascii="宋体" w:hAnsi="宋体" w:cs="宋体"/>
              </w:rPr>
              <w:t>1.2系统包括心脏解剖复习、心脏剖面、血流动力学、心脏外形等等教学知识。</w:t>
            </w:r>
          </w:p>
          <w:p>
            <w:pPr>
              <w:pStyle w:val="2"/>
              <w:spacing w:after="0"/>
              <w:rPr>
                <w:rFonts w:ascii="宋体" w:hAnsi="宋体" w:cs="宋体"/>
                <w:i/>
                <w:iCs/>
              </w:rPr>
            </w:pPr>
            <w:r>
              <w:rPr>
                <w:rFonts w:hint="eastAsia" w:ascii="宋体" w:hAnsi="宋体" w:cs="宋体"/>
              </w:rPr>
              <w:t>2.心脏视诊：</w:t>
            </w:r>
          </w:p>
          <w:p>
            <w:pPr>
              <w:pStyle w:val="2"/>
              <w:spacing w:after="0"/>
              <w:rPr>
                <w:rFonts w:ascii="宋体" w:hAnsi="宋体" w:cs="宋体"/>
                <w:i/>
                <w:iCs/>
              </w:rPr>
            </w:pPr>
            <w:r>
              <w:rPr>
                <w:rFonts w:hint="eastAsia" w:ascii="宋体" w:hAnsi="宋体" w:cs="宋体"/>
              </w:rPr>
              <w:t>2.1采用视频动画与三维交互表现形式，同时相应的病例配备心音图、心电图，可在模型上同步体验心尖搏动、负性心尖搏动以及震颤，心音图/心电图/声音随心率调整而随之变化，并达到同步。</w:t>
            </w:r>
          </w:p>
          <w:p>
            <w:pPr>
              <w:pStyle w:val="2"/>
              <w:spacing w:after="0"/>
              <w:rPr>
                <w:rFonts w:ascii="宋体" w:hAnsi="宋体" w:cs="宋体"/>
                <w:i/>
                <w:iCs/>
              </w:rPr>
            </w:pPr>
            <w:r>
              <w:rPr>
                <w:rFonts w:hint="eastAsia" w:ascii="宋体" w:hAnsi="宋体" w:cs="宋体"/>
              </w:rPr>
              <w:t>2.2可查看不同角度的血流走向和器官状态，形象阐释病理体征的解剖结构、心脏瓣膜、血流的血液动力学变化及听诊音产生原理。</w:t>
            </w:r>
          </w:p>
          <w:p>
            <w:pPr>
              <w:pStyle w:val="2"/>
              <w:spacing w:after="0"/>
              <w:rPr>
                <w:rFonts w:ascii="宋体" w:hAnsi="宋体" w:cs="宋体"/>
                <w:i/>
                <w:iCs/>
              </w:rPr>
            </w:pPr>
            <w:r>
              <w:rPr>
                <w:rFonts w:hint="eastAsia" w:ascii="宋体" w:hAnsi="宋体" w:cs="宋体"/>
              </w:rPr>
              <w:t>2.3视诊教学内容包含视诊方法、多种胸廓畸形（含：前区隆起、鸡胸等）、心尖搏动（含：心尖搏动位置、负性心尖搏动 ）、心前区异常搏动（含：胸骨左缘第二肋间收缩期搏动、胸骨右缘第二肋间及胸骨上窝收缩期搏动等）近10种相关的内容。</w:t>
            </w:r>
          </w:p>
          <w:p>
            <w:pPr>
              <w:pStyle w:val="2"/>
              <w:spacing w:after="0"/>
              <w:rPr>
                <w:rFonts w:ascii="宋体" w:hAnsi="宋体" w:cs="宋体"/>
                <w:i/>
                <w:iCs/>
              </w:rPr>
            </w:pPr>
            <w:r>
              <w:rPr>
                <w:rFonts w:hint="eastAsia" w:ascii="宋体" w:hAnsi="宋体" w:cs="宋体"/>
              </w:rPr>
              <w:t>3.心脏叩诊：</w:t>
            </w:r>
          </w:p>
          <w:p>
            <w:pPr>
              <w:pStyle w:val="2"/>
              <w:spacing w:after="0"/>
              <w:rPr>
                <w:rFonts w:ascii="宋体" w:hAnsi="宋体" w:cs="宋体"/>
                <w:i/>
                <w:iCs/>
              </w:rPr>
            </w:pPr>
            <w:r>
              <w:rPr>
                <w:rFonts w:hint="eastAsia" w:ascii="宋体" w:hAnsi="宋体" w:cs="宋体"/>
              </w:rPr>
              <w:t>3.1具有三维立体交互表现形式，包括心尖搏动、心前区异常搏动、心浊音界改变的常见心脏疾病、正常心脏相对浊音界范围等相关内容。</w:t>
            </w:r>
          </w:p>
          <w:p>
            <w:pPr>
              <w:pStyle w:val="2"/>
              <w:spacing w:after="0"/>
              <w:rPr>
                <w:rFonts w:ascii="宋体" w:hAnsi="宋体" w:cs="宋体"/>
                <w:i/>
                <w:iCs/>
              </w:rPr>
            </w:pPr>
            <w:r>
              <w:rPr>
                <w:rFonts w:hint="eastAsia" w:ascii="宋体" w:hAnsi="宋体" w:cs="宋体"/>
              </w:rPr>
              <w:t>3.2教学内容包含叩诊方法及顺序、正常心界及心浊音界改变的常见心脏疾病（不低于4种）、正常心脏相对浊音界范围相关的内容及体征（不低于5种）。</w:t>
            </w:r>
          </w:p>
          <w:p>
            <w:pPr>
              <w:pStyle w:val="2"/>
              <w:spacing w:after="0"/>
              <w:rPr>
                <w:rFonts w:ascii="宋体" w:hAnsi="宋体" w:cs="宋体"/>
                <w:i/>
                <w:iCs/>
              </w:rPr>
            </w:pPr>
            <w:r>
              <w:rPr>
                <w:rFonts w:hint="eastAsia" w:ascii="宋体" w:hAnsi="宋体" w:cs="宋体"/>
              </w:rPr>
              <w:t>4.心脏触诊：</w:t>
            </w:r>
          </w:p>
          <w:p>
            <w:pPr>
              <w:pStyle w:val="2"/>
              <w:spacing w:after="0"/>
              <w:rPr>
                <w:rFonts w:ascii="宋体" w:hAnsi="宋体" w:cs="宋体"/>
                <w:i/>
                <w:iCs/>
              </w:rPr>
            </w:pPr>
            <w:r>
              <w:rPr>
                <w:rFonts w:hint="eastAsia" w:ascii="宋体" w:hAnsi="宋体" w:cs="宋体"/>
              </w:rPr>
              <w:t>4.1模型采用微型震动传感系统，可直观感受触诊病例体征，触诊效果仿真临床真实病人。可触及的心尖搏动与教学系统界面内三维动画的心脏运动实现同步，且可产生同步的心音图和心电图，可在模拟人身上进行相关设置。</w:t>
            </w:r>
          </w:p>
          <w:p>
            <w:pPr>
              <w:pStyle w:val="2"/>
              <w:spacing w:after="0"/>
              <w:rPr>
                <w:rFonts w:ascii="宋体" w:hAnsi="宋体" w:cs="宋体"/>
                <w:i/>
                <w:iCs/>
              </w:rPr>
            </w:pPr>
            <w:r>
              <w:rPr>
                <w:rFonts w:hint="eastAsia" w:ascii="宋体" w:hAnsi="宋体" w:cs="宋体"/>
              </w:rPr>
              <w:t>4.2根据不同病例设置有不同强弱的语颤、猫喘、心包摩擦感、胸膜摩擦感的触诊体征。可根据不同病例体验多种不同的心尖搏动、连续性震颤以及心包摩擦感等。</w:t>
            </w:r>
          </w:p>
          <w:p>
            <w:pPr>
              <w:pStyle w:val="2"/>
              <w:spacing w:after="0"/>
              <w:rPr>
                <w:rFonts w:ascii="宋体" w:hAnsi="宋体" w:cs="宋体"/>
                <w:i/>
                <w:iCs/>
              </w:rPr>
            </w:pPr>
            <w:r>
              <w:rPr>
                <w:rFonts w:hint="eastAsia" w:ascii="宋体" w:hAnsi="宋体" w:cs="宋体"/>
              </w:rPr>
              <w:t>5.心脏听诊：</w:t>
            </w:r>
          </w:p>
          <w:p>
            <w:pPr>
              <w:pStyle w:val="2"/>
              <w:spacing w:after="0"/>
              <w:rPr>
                <w:rFonts w:ascii="宋体" w:hAnsi="宋体" w:cs="宋体"/>
                <w:i/>
                <w:iCs/>
              </w:rPr>
            </w:pPr>
            <w:r>
              <w:rPr>
                <w:rFonts w:hint="eastAsia" w:ascii="宋体" w:hAnsi="宋体" w:cs="宋体"/>
              </w:rPr>
              <w:t>5.1符合教学大纲要求配备视频演示、心音图、心电图等相关素材，贴近临床实际场景。</w:t>
            </w:r>
          </w:p>
          <w:p>
            <w:pPr>
              <w:pStyle w:val="2"/>
              <w:spacing w:after="0"/>
              <w:rPr>
                <w:rFonts w:ascii="宋体" w:hAnsi="宋体" w:cs="宋体"/>
                <w:i/>
                <w:iCs/>
              </w:rPr>
            </w:pPr>
            <w:r>
              <w:rPr>
                <w:rFonts w:hint="eastAsia" w:ascii="宋体" w:hAnsi="宋体" w:cs="宋体"/>
              </w:rPr>
              <w:t>5.2具有三维全息无线互感听诊体验，可根据人体声波传导原理，模拟不同听诊区在相近部位的声音强弱变化， 听诊直径可达到1～5cm；易于分辨混淆音，还原真实听诊体验。</w:t>
            </w:r>
          </w:p>
          <w:p>
            <w:pPr>
              <w:pStyle w:val="2"/>
              <w:spacing w:after="0"/>
              <w:rPr>
                <w:rFonts w:ascii="宋体" w:hAnsi="宋体" w:cs="宋体"/>
                <w:i/>
                <w:iCs/>
              </w:rPr>
            </w:pPr>
            <w:r>
              <w:rPr>
                <w:rFonts w:hint="eastAsia" w:ascii="宋体" w:hAnsi="宋体" w:cs="宋体"/>
              </w:rPr>
              <w:t>5.3对于易混淆、难区别的听诊体征，有常见听诊音鉴别单元至少20组进行详细讲解。可同步显示心电图和心音图、文字解说、视频以及数据表格详细区分对比，具有声音元素分解听诊，便于鉴别。</w:t>
            </w:r>
          </w:p>
          <w:p>
            <w:pPr>
              <w:pStyle w:val="2"/>
              <w:spacing w:after="0"/>
              <w:rPr>
                <w:rFonts w:ascii="宋体" w:hAnsi="宋体" w:cs="宋体"/>
                <w:i/>
                <w:iCs/>
              </w:rPr>
            </w:pPr>
            <w:r>
              <w:rPr>
                <w:rFonts w:hint="eastAsia" w:ascii="宋体" w:hAnsi="宋体" w:cs="宋体"/>
              </w:rPr>
              <w:t>5.4系统具备≥100例常见心血管检查生理及病理体征，≥60例肺部检查体征，综合体征200例以上。</w:t>
            </w:r>
          </w:p>
          <w:p>
            <w:pPr>
              <w:pStyle w:val="2"/>
              <w:spacing w:after="0"/>
              <w:rPr>
                <w:rFonts w:ascii="宋体" w:hAnsi="宋体" w:cs="宋体"/>
                <w:i/>
                <w:iCs/>
              </w:rPr>
            </w:pPr>
            <w:r>
              <w:rPr>
                <w:rFonts w:hint="eastAsia" w:ascii="宋体" w:hAnsi="宋体" w:cs="宋体"/>
              </w:rPr>
              <w:t>5.5可实现在二尖瓣区（心尖）、肺动脉瓣区、主动脉瓣区、主动脉瓣第二听诊区、三尖瓣区、喉部；腋前线上、下部和腋中线上、下部；背部腋后线、肩胛间区，肩胛下区等多个胸部听诊区域全信息同时覆盖的听诊效果。</w:t>
            </w:r>
          </w:p>
          <w:p>
            <w:pPr>
              <w:pStyle w:val="2"/>
              <w:spacing w:after="0"/>
              <w:rPr>
                <w:rFonts w:ascii="宋体" w:hAnsi="宋体" w:cs="宋体"/>
                <w:i/>
                <w:iCs/>
              </w:rPr>
            </w:pPr>
            <w:r>
              <w:rPr>
                <w:rFonts w:hint="eastAsia" w:ascii="宋体" w:hAnsi="宋体" w:cs="宋体"/>
              </w:rPr>
              <w:t>5.6心脏听诊内容包含频率（窦性心动过速等）、节律（心房颤动等）、心音（S1、S2、S3等）、心音的改变（心音性质的改变、S1强弱不等、S2生理性分裂等）、额外心音（开瓣音、舒张早期奔马律、主动脉瓣喷射音等）、杂音（二尖瓣狭窄、二尖瓣关闭不全、主动脉瓣狭窄等）、常见听诊音鉴别（窦性心动过速与室上性心动过速、S2顺分裂和S2固定分裂 等）心包摩擦音，百余种病例直观演示，可根据教学需要调节相应心跳速度并有3D显示；均同步显示心电图和心音图，文字解说。</w:t>
            </w:r>
          </w:p>
          <w:p>
            <w:pPr>
              <w:pStyle w:val="2"/>
              <w:spacing w:after="0"/>
              <w:rPr>
                <w:rFonts w:ascii="宋体" w:hAnsi="宋体" w:cs="宋体"/>
                <w:i/>
                <w:iCs/>
              </w:rPr>
            </w:pPr>
            <w:r>
              <w:rPr>
                <w:rFonts w:hint="eastAsia" w:ascii="宋体" w:hAnsi="宋体" w:cs="宋体"/>
              </w:rPr>
              <w:t>5.7心率可调节，具备3D动画、心音图、心电图和声音随心率调整而随之变化，并达到同步。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p>
          <w:p>
            <w:pPr>
              <w:pStyle w:val="2"/>
              <w:spacing w:after="0"/>
              <w:rPr>
                <w:rFonts w:ascii="宋体" w:hAnsi="宋体" w:cs="宋体"/>
                <w:i/>
                <w:iCs/>
              </w:rPr>
            </w:pPr>
            <w:r>
              <w:rPr>
                <w:rFonts w:hint="eastAsia" w:ascii="宋体" w:hAnsi="宋体" w:cs="宋体"/>
              </w:rPr>
              <w:t>6.肺脏检查</w:t>
            </w:r>
          </w:p>
          <w:p>
            <w:pPr>
              <w:pStyle w:val="2"/>
              <w:spacing w:after="0"/>
              <w:rPr>
                <w:rFonts w:ascii="宋体" w:hAnsi="宋体" w:cs="宋体"/>
                <w:i/>
                <w:iCs/>
              </w:rPr>
            </w:pPr>
            <w:r>
              <w:rPr>
                <w:rFonts w:hint="eastAsia" w:ascii="宋体" w:hAnsi="宋体" w:cs="宋体"/>
              </w:rPr>
              <w:t>具备三维互动视觉体验：可立体查看并可快速定位，可对肺脏解剖结构进行旋转、分层查看包括全部、皮肤 、胸膜、邻近器官、隐藏骨骼、呼吸器官等，可显示各部位名称，具有人体的自然陷窝和解剖区域讲解；系统自带20种临床常见病例，并配有CT、X线片、呼吸音波形图以及心电图进行详细的讲解。</w:t>
            </w:r>
          </w:p>
          <w:p>
            <w:pPr>
              <w:pStyle w:val="2"/>
              <w:spacing w:after="0"/>
              <w:rPr>
                <w:rFonts w:ascii="宋体" w:hAnsi="宋体" w:cs="宋体"/>
                <w:i/>
                <w:iCs/>
              </w:rPr>
            </w:pPr>
            <w:r>
              <w:rPr>
                <w:rFonts w:hint="eastAsia" w:ascii="宋体" w:hAnsi="宋体" w:cs="宋体"/>
              </w:rPr>
              <w:t>7.肺脏视诊</w:t>
            </w:r>
          </w:p>
          <w:p>
            <w:pPr>
              <w:pStyle w:val="2"/>
              <w:spacing w:after="0"/>
              <w:rPr>
                <w:rFonts w:ascii="宋体" w:hAnsi="宋体" w:cs="宋体"/>
                <w:i/>
                <w:iCs/>
              </w:rPr>
            </w:pPr>
            <w:r>
              <w:rPr>
                <w:rFonts w:hint="eastAsia" w:ascii="宋体" w:hAnsi="宋体" w:cs="宋体"/>
              </w:rPr>
              <w:t>7.1视诊包含胸壁检查、胸廓检查、呼吸运动、呼吸频率、呼吸深度和呼吸节律相关的内容。相关病例配有相应的呼吸波形图以及心电图以及3D模型；同时根据病例可在仿真人体模型上体验相应的心尖搏动。</w:t>
            </w:r>
          </w:p>
          <w:p>
            <w:pPr>
              <w:pStyle w:val="2"/>
              <w:spacing w:after="0"/>
              <w:rPr>
                <w:rFonts w:ascii="宋体" w:hAnsi="宋体" w:cs="宋体"/>
                <w:i/>
                <w:iCs/>
              </w:rPr>
            </w:pPr>
            <w:r>
              <w:rPr>
                <w:rFonts w:hint="eastAsia" w:ascii="宋体" w:hAnsi="宋体" w:cs="宋体"/>
              </w:rPr>
              <w:t>7.2胸壁检查（静脉、胸壁压痛、肋间隙等）。</w:t>
            </w:r>
          </w:p>
          <w:p>
            <w:pPr>
              <w:pStyle w:val="2"/>
              <w:spacing w:after="0"/>
              <w:rPr>
                <w:rFonts w:ascii="宋体" w:hAnsi="宋体" w:cs="宋体"/>
                <w:i/>
                <w:iCs/>
              </w:rPr>
            </w:pPr>
            <w:r>
              <w:rPr>
                <w:rFonts w:hint="eastAsia" w:ascii="宋体" w:hAnsi="宋体" w:cs="宋体"/>
              </w:rPr>
              <w:t>7.3胸廓检查（正常胸廓、佝偻病胸、胸廓一侧变形等）。</w:t>
            </w:r>
          </w:p>
          <w:p>
            <w:pPr>
              <w:pStyle w:val="2"/>
              <w:spacing w:after="0"/>
              <w:rPr>
                <w:rFonts w:ascii="宋体" w:hAnsi="宋体" w:cs="宋体"/>
                <w:i/>
                <w:iCs/>
              </w:rPr>
            </w:pPr>
            <w:r>
              <w:rPr>
                <w:rFonts w:hint="eastAsia" w:ascii="宋体" w:hAnsi="宋体" w:cs="宋体"/>
              </w:rPr>
              <w:t>7.4呼吸频率具备≥13种可调节模式，均有心电图和呼吸波型显示，呼吸频率可调节。</w:t>
            </w:r>
          </w:p>
          <w:p>
            <w:pPr>
              <w:pStyle w:val="2"/>
              <w:spacing w:after="0"/>
              <w:rPr>
                <w:rFonts w:ascii="宋体" w:hAnsi="宋体" w:cs="宋体"/>
                <w:i/>
                <w:iCs/>
              </w:rPr>
            </w:pPr>
            <w:r>
              <w:rPr>
                <w:rFonts w:hint="eastAsia" w:ascii="宋体" w:hAnsi="宋体" w:cs="宋体"/>
              </w:rPr>
              <w:t>7.5呼吸节律：潮式呼吸（Cheyne-Stokes呼吸）、间停呼吸（Biot呼吸）、叹气样呼吸等。</w:t>
            </w:r>
          </w:p>
          <w:p>
            <w:pPr>
              <w:pStyle w:val="2"/>
              <w:spacing w:after="0"/>
              <w:rPr>
                <w:rFonts w:ascii="宋体" w:hAnsi="宋体" w:cs="宋体"/>
                <w:i/>
                <w:iCs/>
              </w:rPr>
            </w:pPr>
            <w:r>
              <w:rPr>
                <w:rFonts w:hint="eastAsia" w:ascii="宋体" w:hAnsi="宋体" w:cs="宋体"/>
              </w:rPr>
              <w:t>7.6呼吸运动具有男性腹式呼吸、女性胸式呼吸、呼气性困难、混合型困难等均有心电图和呼吸波型显示，呼吸频率可调节。</w:t>
            </w:r>
          </w:p>
          <w:p>
            <w:pPr>
              <w:pStyle w:val="2"/>
              <w:spacing w:after="0"/>
              <w:rPr>
                <w:rFonts w:ascii="宋体" w:hAnsi="宋体" w:cs="宋体"/>
                <w:i/>
                <w:iCs/>
              </w:rPr>
            </w:pPr>
            <w:r>
              <w:rPr>
                <w:rFonts w:hint="eastAsia" w:ascii="宋体" w:hAnsi="宋体" w:cs="宋体"/>
              </w:rPr>
              <w:t>8.肺脏触诊</w:t>
            </w:r>
          </w:p>
          <w:p>
            <w:pPr>
              <w:pStyle w:val="2"/>
              <w:spacing w:after="0"/>
              <w:rPr>
                <w:rFonts w:ascii="宋体" w:hAnsi="宋体" w:cs="宋体"/>
                <w:i/>
                <w:iCs/>
              </w:rPr>
            </w:pPr>
            <w:r>
              <w:rPr>
                <w:rFonts w:hint="eastAsia" w:ascii="宋体" w:hAnsi="宋体" w:cs="宋体"/>
              </w:rPr>
              <w:t>8.1相关病例还可在仿真人体模型上体验相应的心尖搏动、触觉语颤、胸膜摩擦感。触诊包含胸廓扩张度、胸廓扩张度异常、（语音震颤）触觉语颤等相关的内容。</w:t>
            </w:r>
          </w:p>
          <w:p>
            <w:pPr>
              <w:pStyle w:val="2"/>
              <w:spacing w:after="0"/>
              <w:rPr>
                <w:rFonts w:ascii="宋体" w:hAnsi="宋体" w:cs="宋体"/>
                <w:i/>
                <w:iCs/>
              </w:rPr>
            </w:pPr>
            <w:r>
              <w:rPr>
                <w:rFonts w:hint="eastAsia" w:ascii="宋体" w:hAnsi="宋体" w:cs="宋体"/>
              </w:rPr>
              <w:t>8.2软件与模拟人配合可发长音“yi”进而可进行触觉语颤检查；</w:t>
            </w:r>
          </w:p>
          <w:p>
            <w:pPr>
              <w:pStyle w:val="2"/>
              <w:spacing w:after="0"/>
              <w:rPr>
                <w:rFonts w:ascii="宋体" w:hAnsi="宋体" w:cs="宋体"/>
                <w:i/>
                <w:iCs/>
              </w:rPr>
            </w:pPr>
            <w:r>
              <w:rPr>
                <w:rFonts w:hint="eastAsia" w:ascii="宋体" w:hAnsi="宋体" w:cs="宋体"/>
              </w:rPr>
              <w:t>8.3胸廓扩张度；胸廓扩张度异常（一侧胸廓扩张度增强、一侧胸廓扩张度减弱等）语音震颤增强（肺实变、肺空洞等）；语音震颤减弱；胸膜摩擦感。</w:t>
            </w:r>
          </w:p>
          <w:p>
            <w:pPr>
              <w:pStyle w:val="2"/>
              <w:spacing w:after="0"/>
              <w:rPr>
                <w:rFonts w:ascii="宋体" w:hAnsi="宋体" w:cs="宋体"/>
                <w:i/>
                <w:iCs/>
              </w:rPr>
            </w:pPr>
            <w:r>
              <w:rPr>
                <w:rFonts w:hint="eastAsia" w:ascii="宋体" w:hAnsi="宋体" w:cs="宋体"/>
              </w:rPr>
              <w:t>9.肺脏听诊包含听诊要领（VCR）和听诊内容等部分，相关病例可配合相应的呼吸波形图以及心电图以及3D模型；还可在仿真人体模型上体验相应的心尖搏动、触觉语颤、听诊音以及胸膜摩擦感。</w:t>
            </w:r>
          </w:p>
          <w:p>
            <w:pPr>
              <w:pStyle w:val="2"/>
              <w:spacing w:after="0"/>
              <w:rPr>
                <w:rFonts w:ascii="宋体" w:hAnsi="宋体" w:cs="宋体"/>
                <w:i/>
                <w:iCs/>
              </w:rPr>
            </w:pPr>
            <w:r>
              <w:rPr>
                <w:rFonts w:hint="eastAsia" w:ascii="宋体" w:hAnsi="宋体" w:cs="宋体"/>
              </w:rPr>
              <w:t>9.1包含正常呼吸音（正常支气呼吸音、正常肺泡呼吸音等）、异常呼吸音（断续性呼吸音、异常支气管呼吸音（大叶性肺炎）等）、湿啰音（粗湿啰音/Velcro啰音等）、干啰音（ 鸟鸣音、飞箭音 等）、语音共振（胸语音、羊鸣音等）、胸膜摩擦音等。</w:t>
            </w:r>
          </w:p>
          <w:p>
            <w:pPr>
              <w:pStyle w:val="2"/>
              <w:spacing w:after="0"/>
              <w:rPr>
                <w:rFonts w:ascii="宋体" w:hAnsi="宋体" w:cs="宋体"/>
              </w:rPr>
            </w:pPr>
            <w:r>
              <w:rPr>
                <w:rFonts w:hint="eastAsia" w:ascii="宋体" w:hAnsi="宋体" w:cs="宋体"/>
              </w:rPr>
              <w:t>9.2系统具备正常呼吸音伴小孩哭声、小孩哭声伴小水泡音等儿童听诊特点。</w:t>
            </w:r>
          </w:p>
          <w:p>
            <w:pPr>
              <w:pStyle w:val="2"/>
              <w:spacing w:after="0"/>
              <w:rPr>
                <w:rFonts w:ascii="宋体" w:hAnsi="宋体" w:cs="宋体"/>
                <w:i/>
                <w:iCs/>
              </w:rPr>
            </w:pPr>
            <w:r>
              <w:rPr>
                <w:rFonts w:hint="eastAsia" w:ascii="宋体" w:hAnsi="宋体" w:cs="宋体"/>
              </w:rPr>
              <w:t>10.肺脏叩诊：叩诊包含叩诊方法、肺上界、肺下界和肺下界移动度相关的内容。</w:t>
            </w:r>
          </w:p>
          <w:p>
            <w:pPr>
              <w:pStyle w:val="2"/>
              <w:spacing w:after="0"/>
              <w:rPr>
                <w:rFonts w:ascii="宋体" w:hAnsi="宋体" w:cs="宋体"/>
              </w:rPr>
            </w:pPr>
            <w:r>
              <w:rPr>
                <w:rFonts w:hint="eastAsia" w:ascii="宋体" w:hAnsi="宋体" w:cs="宋体"/>
              </w:rPr>
              <w:t>11.软件系统：支持服务器整体授权方式。</w:t>
            </w:r>
          </w:p>
          <w:p>
            <w:pPr>
              <w:pStyle w:val="2"/>
              <w:spacing w:after="0"/>
              <w:rPr>
                <w:rFonts w:ascii="宋体" w:hAnsi="宋体" w:cs="宋体"/>
              </w:rPr>
            </w:pPr>
            <w:r>
              <w:rPr>
                <w:rFonts w:hint="eastAsia" w:ascii="宋体" w:hAnsi="宋体" w:cs="宋体"/>
              </w:rPr>
              <w:t>11.1系统支持多种加密方式：在线序列号加密、离线文件加密、自定义短码激活、mac地址预置激活、服务器认证多种方便的激活方式。</w:t>
            </w:r>
          </w:p>
          <w:p>
            <w:pPr>
              <w:pStyle w:val="2"/>
              <w:spacing w:after="0"/>
              <w:rPr>
                <w:rFonts w:ascii="宋体" w:hAnsi="宋体" w:cs="宋体"/>
              </w:rPr>
            </w:pPr>
            <w:r>
              <w:rPr>
                <w:rFonts w:hint="eastAsia" w:ascii="宋体" w:hAnsi="宋体" w:cs="宋体"/>
              </w:rPr>
              <w:t>11.2屏幕广播：广播多媒体课件，3D，支持DirectDraw、Direct3D、Overlay、OpenGL等特殊显示方式。</w:t>
            </w:r>
          </w:p>
          <w:p>
            <w:pPr>
              <w:pStyle w:val="2"/>
              <w:spacing w:after="0"/>
              <w:rPr>
                <w:rFonts w:ascii="宋体" w:hAnsi="宋体" w:cs="宋体"/>
              </w:rPr>
            </w:pPr>
            <w:r>
              <w:rPr>
                <w:rFonts w:hint="eastAsia" w:ascii="宋体" w:hAnsi="宋体" w:cs="宋体"/>
              </w:rPr>
              <w:t>11.3网络视频：流畅无延时，文件清晰度几乎无损耗，支持720p、1080p的高清视频。脱机工作，以便教师在课前确认准备的片源是否可用；支持暂挂功能，记忆播放进度，以便教师下节课自动从上次暂停的地方继续播放。</w:t>
            </w:r>
          </w:p>
          <w:p>
            <w:pPr>
              <w:pStyle w:val="2"/>
              <w:spacing w:after="0"/>
              <w:rPr>
                <w:rFonts w:ascii="宋体" w:hAnsi="宋体" w:cs="宋体"/>
              </w:rPr>
            </w:pPr>
            <w:r>
              <w:rPr>
                <w:rFonts w:hint="eastAsia" w:ascii="宋体" w:hAnsi="宋体" w:cs="宋体"/>
              </w:rPr>
              <w:t>11.4分组教学/讨论：同组师生支持多种方式进行交流，包括文字，表情，图片，语音等。</w:t>
            </w:r>
          </w:p>
          <w:p>
            <w:pPr>
              <w:pStyle w:val="2"/>
              <w:spacing w:after="0"/>
              <w:rPr>
                <w:rFonts w:ascii="宋体" w:hAnsi="宋体" w:cs="宋体"/>
              </w:rPr>
            </w:pPr>
            <w:r>
              <w:rPr>
                <w:rFonts w:hint="eastAsia" w:ascii="宋体" w:hAnsi="宋体" w:cs="宋体"/>
              </w:rPr>
              <w:t>11.5屏幕录制：教师机可以将本地的操作和讲解过程录制为ASF录像文件，可以用自带的Media Player直接播放。</w:t>
            </w:r>
          </w:p>
          <w:p>
            <w:pPr>
              <w:pStyle w:val="2"/>
              <w:spacing w:after="0"/>
              <w:rPr>
                <w:rFonts w:ascii="宋体" w:hAnsi="宋体" w:cs="宋体"/>
              </w:rPr>
            </w:pPr>
            <w:r>
              <w:rPr>
                <w:rFonts w:hint="eastAsia" w:ascii="宋体" w:hAnsi="宋体" w:cs="宋体"/>
              </w:rPr>
              <w:t>11.6文件管理：有文件分发、收集、提交功能，可拖拽添加文件，可限制学生提交文件的数目和大小，收集文件支持后缀名过滤。</w:t>
            </w:r>
          </w:p>
          <w:p>
            <w:pPr>
              <w:pStyle w:val="2"/>
              <w:spacing w:after="0"/>
              <w:rPr>
                <w:rFonts w:ascii="宋体" w:hAnsi="宋体" w:cs="宋体"/>
              </w:rPr>
            </w:pPr>
            <w:r>
              <w:rPr>
                <w:rFonts w:hint="eastAsia" w:ascii="宋体" w:hAnsi="宋体" w:cs="宋体"/>
              </w:rPr>
              <w:t>11.7屏幕监视：教师机每屏可监视多个学生屏幕（不少于15个），并可保存学生画面的截图。</w:t>
            </w:r>
          </w:p>
          <w:p>
            <w:pPr>
              <w:pStyle w:val="2"/>
              <w:spacing w:after="0"/>
              <w:rPr>
                <w:rFonts w:ascii="宋体" w:hAnsi="宋体" w:cs="宋体"/>
              </w:rPr>
            </w:pPr>
            <w:r>
              <w:rPr>
                <w:rFonts w:hint="eastAsia" w:ascii="宋体" w:hAnsi="宋体" w:cs="宋体"/>
              </w:rPr>
              <w:t>11.8网络白板：教师通过导入图片、文档或截图创建白板，将白板内容共享给学生，学生和教师可以共享在白板上通过绘图工具文本书写完成学习任务或绘画作品，提高学生团队合作的兴趣。教师也可以允许学生自己独立完成学习任务，教师可以在教师机上监看所有学生的完成情况。</w:t>
            </w:r>
          </w:p>
          <w:p>
            <w:pPr>
              <w:pStyle w:val="2"/>
              <w:spacing w:after="0"/>
              <w:rPr>
                <w:rFonts w:ascii="宋体" w:hAnsi="宋体" w:cs="宋体"/>
              </w:rPr>
            </w:pPr>
            <w:r>
              <w:rPr>
                <w:rFonts w:hint="eastAsia" w:ascii="宋体" w:hAnsi="宋体" w:cs="宋体"/>
              </w:rPr>
              <w:t>11.9抢答和竞赛：教师可以出任意题目请学生作答，学生可抢答。答题方式有：口头回答、文字输入作答、学生桌面演示作答。</w:t>
            </w:r>
          </w:p>
          <w:p>
            <w:pPr>
              <w:pStyle w:val="2"/>
              <w:spacing w:after="0"/>
              <w:rPr>
                <w:rFonts w:ascii="宋体" w:hAnsi="宋体" w:cs="宋体"/>
              </w:rPr>
            </w:pPr>
            <w:r>
              <w:rPr>
                <w:rFonts w:hint="eastAsia" w:ascii="宋体" w:hAnsi="宋体" w:cs="宋体"/>
              </w:rPr>
              <w:t>11.10考试：具备常规的试卷发放、交卷、阅卷等考试功能。</w:t>
            </w:r>
          </w:p>
          <w:p>
            <w:pPr>
              <w:pStyle w:val="2"/>
              <w:spacing w:after="0"/>
              <w:rPr>
                <w:rFonts w:ascii="宋体" w:hAnsi="宋体" w:cs="宋体"/>
              </w:rPr>
            </w:pPr>
            <w:r>
              <w:rPr>
                <w:rFonts w:hint="eastAsia" w:ascii="宋体" w:hAnsi="宋体" w:cs="宋体"/>
              </w:rPr>
              <w:t>11.11阅卷评分：收取的试卷系统可自动评分，教师添加批注，查看柱状图显示的考试统计结果，并能够将评分结果以网页形式发送给相应的学生。</w:t>
            </w:r>
          </w:p>
          <w:p>
            <w:pPr>
              <w:pStyle w:val="2"/>
              <w:spacing w:after="0"/>
              <w:rPr>
                <w:rFonts w:ascii="宋体" w:hAnsi="宋体" w:cs="宋体"/>
              </w:rPr>
            </w:pPr>
            <w:r>
              <w:rPr>
                <w:rFonts w:hint="eastAsia" w:ascii="宋体" w:hAnsi="宋体" w:cs="宋体"/>
              </w:rPr>
              <w:t>11.12班级模型：获取学生端计算机的名称、登录名、学生端应用程序、进程和进程 ID，远程终止学生端进程，显示学生机桌面的缩图。</w:t>
            </w:r>
          </w:p>
          <w:p>
            <w:pPr>
              <w:pStyle w:val="2"/>
              <w:spacing w:after="0"/>
              <w:rPr>
                <w:rFonts w:ascii="宋体" w:hAnsi="宋体" w:cs="宋体"/>
              </w:rPr>
            </w:pPr>
            <w:r>
              <w:rPr>
                <w:rFonts w:hint="eastAsia" w:ascii="宋体" w:hAnsi="宋体" w:cs="宋体"/>
              </w:rPr>
              <w:t>11.13学生限制：设置上网限制、应用程序限制、USB和CD使用限制等，对不同学生设置不同的限制策略，查看当前的学生电脑界面，上网限制支持多浏览器。</w:t>
            </w:r>
          </w:p>
          <w:p>
            <w:pPr>
              <w:pStyle w:val="2"/>
              <w:spacing w:after="0"/>
              <w:rPr>
                <w:rFonts w:ascii="宋体" w:hAnsi="宋体" w:cs="宋体"/>
              </w:rPr>
            </w:pPr>
            <w:r>
              <w:rPr>
                <w:rFonts w:hint="eastAsia" w:ascii="宋体" w:hAnsi="宋体" w:cs="宋体"/>
              </w:rPr>
              <w:t xml:space="preserve"> 三、腹部检查教学训练系统：</w:t>
            </w:r>
          </w:p>
          <w:p>
            <w:pPr>
              <w:pStyle w:val="2"/>
              <w:spacing w:after="0"/>
              <w:rPr>
                <w:rFonts w:ascii="宋体" w:hAnsi="宋体" w:cs="宋体"/>
                <w:i/>
                <w:iCs/>
              </w:rPr>
            </w:pPr>
            <w:r>
              <w:rPr>
                <w:rFonts w:hint="eastAsia" w:ascii="宋体" w:hAnsi="宋体" w:cs="宋体"/>
              </w:rPr>
              <w:t>腹部检查教学训练系统模拟人为成年女性半身模型，体表标志清晰。 体表皮肤触感柔软、光滑，深部触诊手感软硬度模拟真实人体，结合教学大纲强化腹部的体格检查。</w:t>
            </w:r>
          </w:p>
          <w:p>
            <w:pPr>
              <w:pStyle w:val="2"/>
              <w:spacing w:after="0"/>
              <w:rPr>
                <w:rFonts w:ascii="宋体" w:hAnsi="宋体" w:cs="宋体"/>
                <w:i/>
                <w:iCs/>
              </w:rPr>
            </w:pPr>
            <w:r>
              <w:rPr>
                <w:rFonts w:hint="eastAsia" w:ascii="宋体" w:hAnsi="宋体" w:cs="宋体"/>
              </w:rPr>
              <w:t>1.基础知识：系统应具备腹部解剖及常用体表标志、腹部的分区方法和常用体位的教学；可模拟腹式呼吸，呼吸幅度可调节，呼吸频率≥5种可调节模式；</w:t>
            </w:r>
          </w:p>
          <w:p>
            <w:pPr>
              <w:pStyle w:val="2"/>
              <w:spacing w:after="0"/>
              <w:rPr>
                <w:rFonts w:ascii="宋体" w:hAnsi="宋体" w:cs="宋体"/>
                <w:i/>
                <w:iCs/>
              </w:rPr>
            </w:pPr>
            <w:r>
              <w:rPr>
                <w:rFonts w:hint="eastAsia" w:ascii="宋体" w:hAnsi="宋体" w:cs="宋体"/>
              </w:rPr>
              <w:t>2.腹部视诊：采用生动的视频动画或三维交互表现形式，进行多方位教学演示。</w:t>
            </w:r>
          </w:p>
          <w:p>
            <w:pPr>
              <w:pStyle w:val="2"/>
              <w:spacing w:after="0"/>
              <w:rPr>
                <w:rFonts w:ascii="宋体" w:hAnsi="宋体" w:cs="宋体"/>
                <w:i/>
                <w:iCs/>
              </w:rPr>
            </w:pPr>
            <w:r>
              <w:rPr>
                <w:rFonts w:hint="eastAsia" w:ascii="宋体" w:hAnsi="宋体" w:cs="宋体"/>
              </w:rPr>
              <w:t>视诊包含≥ 22 种不同的视诊体征教学，包含腹部外形（平坦、低平等）、腹壁 （皮疹、瘢痕等）、腹部静脉（上腔静脉梗阻、下腔静脉梗阻等）、胃肠型及蠕动波（胃型、蠕动波等）、上腹部搏动等相关的内容。</w:t>
            </w:r>
          </w:p>
          <w:p>
            <w:pPr>
              <w:pStyle w:val="2"/>
              <w:spacing w:after="0"/>
              <w:rPr>
                <w:rFonts w:ascii="宋体" w:hAnsi="宋体" w:cs="宋体"/>
                <w:i/>
                <w:iCs/>
              </w:rPr>
            </w:pPr>
            <w:r>
              <w:rPr>
                <w:rFonts w:hint="eastAsia" w:ascii="宋体" w:hAnsi="宋体" w:cs="宋体"/>
              </w:rPr>
              <w:t>3.腹部叩诊：叩诊包含≥9 种内容，包含腹部叩诊方法、肝浊音界、胃泡鼓音区等；叩痛包含：肋脊角叩痛、肝区叩痛相关的内容。</w:t>
            </w:r>
          </w:p>
          <w:p>
            <w:pPr>
              <w:pStyle w:val="2"/>
              <w:spacing w:after="0"/>
              <w:rPr>
                <w:rFonts w:ascii="宋体" w:hAnsi="宋体" w:cs="宋体"/>
                <w:i/>
                <w:iCs/>
              </w:rPr>
            </w:pPr>
            <w:r>
              <w:rPr>
                <w:rFonts w:hint="eastAsia" w:ascii="宋体" w:hAnsi="宋体" w:cs="宋体"/>
              </w:rPr>
              <w:t>3.1肝区叩痛可设置有/无，系统显示视频与教学讲解，可与模型进行病例互动，模拟人语音发声回馈操作反应。</w:t>
            </w:r>
          </w:p>
          <w:p>
            <w:pPr>
              <w:pStyle w:val="2"/>
              <w:spacing w:after="0"/>
              <w:rPr>
                <w:rFonts w:ascii="宋体" w:hAnsi="宋体" w:cs="宋体"/>
                <w:i/>
                <w:iCs/>
              </w:rPr>
            </w:pPr>
            <w:r>
              <w:rPr>
                <w:rFonts w:hint="eastAsia" w:ascii="宋体" w:hAnsi="宋体" w:cs="宋体"/>
              </w:rPr>
              <w:t>3.2可进行互动模拟肝浊音界、胃泡鼓音区2种叩诊体征，脾脏叩诊、移动性浊音、水坑实验、膀胱叩诊、肋脊角叩痛等至少5种叩诊体征。</w:t>
            </w:r>
          </w:p>
          <w:p>
            <w:pPr>
              <w:pStyle w:val="2"/>
              <w:spacing w:after="0"/>
              <w:rPr>
                <w:rFonts w:ascii="宋体" w:hAnsi="宋体" w:cs="宋体"/>
                <w:i/>
                <w:iCs/>
              </w:rPr>
            </w:pPr>
            <w:r>
              <w:rPr>
                <w:rFonts w:hint="eastAsia" w:ascii="宋体" w:hAnsi="宋体" w:cs="宋体"/>
              </w:rPr>
              <w:t>4.腹部听诊：</w:t>
            </w:r>
          </w:p>
          <w:p>
            <w:pPr>
              <w:pStyle w:val="2"/>
              <w:spacing w:after="0"/>
              <w:rPr>
                <w:rFonts w:ascii="宋体" w:hAnsi="宋体" w:cs="宋体"/>
                <w:i/>
                <w:iCs/>
              </w:rPr>
            </w:pPr>
            <w:r>
              <w:rPr>
                <w:rFonts w:hint="eastAsia" w:ascii="宋体" w:hAnsi="宋体" w:cs="宋体"/>
              </w:rPr>
              <w:t>腹部听诊包含至少5种肠鸣音、6处血管杂音以及摩擦音和搔刮试验等相关内容。</w:t>
            </w:r>
          </w:p>
          <w:p>
            <w:pPr>
              <w:pStyle w:val="2"/>
              <w:spacing w:after="0"/>
              <w:rPr>
                <w:rFonts w:ascii="宋体" w:hAnsi="宋体" w:cs="宋体"/>
                <w:i/>
                <w:iCs/>
              </w:rPr>
            </w:pPr>
            <w:r>
              <w:rPr>
                <w:rFonts w:hint="eastAsia" w:ascii="宋体" w:hAnsi="宋体" w:cs="宋体"/>
              </w:rPr>
              <w:t>5.腹部触诊：</w:t>
            </w:r>
          </w:p>
          <w:p>
            <w:pPr>
              <w:pStyle w:val="2"/>
              <w:spacing w:after="0"/>
              <w:rPr>
                <w:rFonts w:ascii="宋体" w:hAnsi="宋体" w:cs="宋体"/>
                <w:i/>
                <w:iCs/>
              </w:rPr>
            </w:pPr>
            <w:r>
              <w:rPr>
                <w:rFonts w:hint="eastAsia" w:ascii="宋体" w:hAnsi="宋体" w:cs="宋体"/>
              </w:rPr>
              <w:t>5.1触诊包含触诊顺序、腹壁紧张度、压痛及反跳痛等≥11种相关的内容。</w:t>
            </w:r>
          </w:p>
          <w:p>
            <w:pPr>
              <w:pStyle w:val="2"/>
              <w:spacing w:after="0"/>
              <w:rPr>
                <w:rFonts w:ascii="宋体" w:hAnsi="宋体" w:cs="宋体"/>
                <w:i/>
                <w:iCs/>
              </w:rPr>
            </w:pPr>
            <w:r>
              <w:rPr>
                <w:rFonts w:hint="eastAsia" w:ascii="宋体" w:hAnsi="宋体" w:cs="宋体"/>
              </w:rPr>
              <w:t>5.2腹部模型可模拟胆囊点、胃、胰腺点、左季肋点/脾脏、肝脏/右季肋点、麦氏点、左附件、右附件至少13个部位的压痛、反跳痛触诊点；相关压痛可选择无/轻/重模式。</w:t>
            </w:r>
          </w:p>
          <w:p>
            <w:pPr>
              <w:pStyle w:val="2"/>
              <w:spacing w:after="0"/>
              <w:rPr>
                <w:rFonts w:ascii="宋体" w:hAnsi="宋体" w:cs="宋体"/>
                <w:i/>
                <w:iCs/>
              </w:rPr>
            </w:pPr>
            <w:r>
              <w:rPr>
                <w:rFonts w:hint="eastAsia" w:ascii="宋体" w:hAnsi="宋体" w:cs="宋体"/>
              </w:rPr>
              <w:t>5.3肝脏触诊：肝脏触诊可以模拟任意不同级别大小的体征改变；可选单手/双手触诊法，肝脏设置范围可精确到0.1 cm进行任意大小调节。</w:t>
            </w:r>
          </w:p>
          <w:p>
            <w:pPr>
              <w:pStyle w:val="2"/>
              <w:spacing w:after="0"/>
              <w:rPr>
                <w:rFonts w:ascii="宋体" w:hAnsi="宋体" w:cs="宋体"/>
                <w:i/>
                <w:iCs/>
              </w:rPr>
            </w:pPr>
            <w:r>
              <w:rPr>
                <w:rFonts w:hint="eastAsia" w:ascii="宋体" w:hAnsi="宋体" w:cs="宋体"/>
              </w:rPr>
              <w:t>5.4脾脏触诊：可以模拟任意不同级别大小的体征改变，范围可精确到0.1 cm进行任意大小调节；可针对教学内容进行脾脏轻度肿大、中度肿大以及高度肿大测量。</w:t>
            </w:r>
          </w:p>
          <w:p>
            <w:pPr>
              <w:pStyle w:val="2"/>
              <w:spacing w:after="0"/>
              <w:rPr>
                <w:rFonts w:ascii="宋体" w:hAnsi="宋体" w:cs="宋体"/>
                <w:i/>
                <w:iCs/>
              </w:rPr>
            </w:pPr>
            <w:r>
              <w:rPr>
                <w:rFonts w:hint="eastAsia" w:ascii="宋体" w:hAnsi="宋体" w:cs="宋体"/>
              </w:rPr>
              <w:t>5.5胆囊触诊时可表现墨菲氏征阳性检查。</w:t>
            </w:r>
          </w:p>
          <w:p>
            <w:pPr>
              <w:rPr>
                <w:rFonts w:ascii="宋体" w:hAnsi="宋体" w:cs="宋体"/>
              </w:rPr>
            </w:pPr>
            <w:r>
              <w:rPr>
                <w:rFonts w:hint="eastAsia" w:ascii="宋体" w:hAnsi="宋体" w:cs="宋体"/>
              </w:rPr>
              <w:t>6.模拟人具有故障检测及警示功能，可提示具体故障点。</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3</w:t>
            </w:r>
          </w:p>
        </w:tc>
        <w:tc>
          <w:tcPr>
            <w:tcW w:w="1682" w:type="dxa"/>
            <w:vAlign w:val="center"/>
          </w:tcPr>
          <w:p>
            <w:pPr>
              <w:jc w:val="center"/>
              <w:rPr>
                <w:rFonts w:ascii="宋体" w:hAnsi="宋体" w:cs="宋体"/>
              </w:rPr>
            </w:pPr>
            <w:r>
              <w:rPr>
                <w:rFonts w:hint="eastAsia" w:ascii="宋体" w:hAnsi="宋体" w:cs="宋体"/>
              </w:rPr>
              <w:t>可电动升降功能实验台</w:t>
            </w:r>
          </w:p>
        </w:tc>
        <w:tc>
          <w:tcPr>
            <w:tcW w:w="5988" w:type="dxa"/>
          </w:tcPr>
          <w:p>
            <w:pPr>
              <w:pStyle w:val="2"/>
              <w:spacing w:after="0"/>
              <w:rPr>
                <w:rFonts w:ascii="宋体" w:hAnsi="宋体" w:cs="宋体"/>
              </w:rPr>
            </w:pPr>
            <w:r>
              <w:rPr>
                <w:rFonts w:hint="eastAsia" w:ascii="宋体" w:hAnsi="宋体" w:cs="宋体"/>
              </w:rPr>
              <w:t>1.钢木结构，尺寸：不超过1600mm</w:t>
            </w:r>
            <w:bookmarkStart w:id="106" w:name="OLE_LINK2"/>
            <w:r>
              <w:rPr>
                <w:rFonts w:hint="eastAsia" w:ascii="宋体" w:hAnsi="宋体" w:cs="宋体"/>
              </w:rPr>
              <w:t>×80 mm×1450 mm</w:t>
            </w:r>
            <w:bookmarkEnd w:id="106"/>
            <w:r>
              <w:rPr>
                <w:rFonts w:hint="eastAsia" w:ascii="宋体" w:hAnsi="宋体" w:cs="宋体"/>
              </w:rPr>
              <w:t>，不小于1350mm×50 mm×1350 mm。</w:t>
            </w:r>
          </w:p>
          <w:p>
            <w:pPr>
              <w:pStyle w:val="2"/>
              <w:spacing w:after="0"/>
              <w:rPr>
                <w:rFonts w:ascii="宋体" w:hAnsi="宋体" w:cs="宋体"/>
              </w:rPr>
            </w:pPr>
            <w:r>
              <w:rPr>
                <w:rFonts w:hint="eastAsia" w:ascii="宋体" w:hAnsi="宋体" w:cs="宋体"/>
              </w:rPr>
              <w:t>2.实验台有升降副桌面翻转功能的转换，可拓展实验室用途、转换实验室功能的实用性设计；实现空间使用效率的最大化。</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4</w:t>
            </w:r>
          </w:p>
        </w:tc>
        <w:tc>
          <w:tcPr>
            <w:tcW w:w="1682" w:type="dxa"/>
            <w:vAlign w:val="center"/>
          </w:tcPr>
          <w:p>
            <w:pPr>
              <w:jc w:val="center"/>
              <w:rPr>
                <w:rFonts w:ascii="宋体" w:hAnsi="宋体" w:cs="宋体"/>
              </w:rPr>
            </w:pPr>
            <w:r>
              <w:rPr>
                <w:rFonts w:hint="eastAsia" w:ascii="宋体" w:hAnsi="宋体" w:cs="宋体"/>
              </w:rPr>
              <w:t>听诊器</w:t>
            </w:r>
          </w:p>
        </w:tc>
        <w:tc>
          <w:tcPr>
            <w:tcW w:w="5988" w:type="dxa"/>
            <w:vAlign w:val="center"/>
          </w:tcPr>
          <w:p>
            <w:pPr>
              <w:pStyle w:val="2"/>
              <w:spacing w:after="0"/>
              <w:rPr>
                <w:rFonts w:ascii="宋体" w:hAnsi="宋体" w:cs="宋体"/>
              </w:rPr>
            </w:pPr>
            <w:r>
              <w:rPr>
                <w:rFonts w:hint="eastAsia" w:ascii="宋体" w:hAnsi="宋体" w:cs="宋体"/>
              </w:rPr>
              <w:t>采用电磁线圈感应，使学生在听诊过程中更加的真实清晰，听诊器更加耐用</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5</w:t>
            </w:r>
          </w:p>
        </w:tc>
        <w:tc>
          <w:tcPr>
            <w:tcW w:w="1682" w:type="dxa"/>
            <w:vAlign w:val="center"/>
          </w:tcPr>
          <w:p>
            <w:pPr>
              <w:jc w:val="center"/>
              <w:rPr>
                <w:rFonts w:ascii="宋体" w:hAnsi="宋体" w:cs="宋体"/>
              </w:rPr>
            </w:pPr>
            <w:r>
              <w:rPr>
                <w:rFonts w:hint="eastAsia" w:ascii="宋体" w:hAnsi="宋体" w:cs="宋体"/>
              </w:rPr>
              <w:t>显示端旋转支架</w:t>
            </w:r>
          </w:p>
        </w:tc>
        <w:tc>
          <w:tcPr>
            <w:tcW w:w="5988" w:type="dxa"/>
            <w:vAlign w:val="center"/>
          </w:tcPr>
          <w:p>
            <w:pPr>
              <w:pStyle w:val="2"/>
              <w:spacing w:after="0"/>
              <w:rPr>
                <w:rFonts w:ascii="宋体" w:hAnsi="宋体" w:cs="宋体"/>
              </w:rPr>
            </w:pPr>
            <w:r>
              <w:rPr>
                <w:rFonts w:hint="eastAsia" w:ascii="宋体" w:hAnsi="宋体" w:cs="宋体"/>
              </w:rPr>
              <w:t>显示器与支架连接处，可旋转，更有利于屏幕的观看</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6</w:t>
            </w:r>
          </w:p>
        </w:tc>
        <w:tc>
          <w:tcPr>
            <w:tcW w:w="1682" w:type="dxa"/>
            <w:vAlign w:val="center"/>
          </w:tcPr>
          <w:p>
            <w:pPr>
              <w:jc w:val="center"/>
              <w:rPr>
                <w:rFonts w:ascii="宋体" w:hAnsi="宋体" w:cs="宋体"/>
              </w:rPr>
            </w:pPr>
            <w:r>
              <w:rPr>
                <w:rFonts w:hint="eastAsia" w:ascii="宋体" w:hAnsi="宋体" w:cs="宋体"/>
              </w:rPr>
              <w:t>胸、腹部检查虚拟仿真训练系统光盘</w:t>
            </w:r>
          </w:p>
        </w:tc>
        <w:tc>
          <w:tcPr>
            <w:tcW w:w="5988" w:type="dxa"/>
            <w:vAlign w:val="center"/>
          </w:tcPr>
          <w:p>
            <w:pPr>
              <w:pStyle w:val="2"/>
              <w:spacing w:after="0"/>
              <w:rPr>
                <w:rFonts w:ascii="宋体" w:hAnsi="宋体" w:cs="宋体"/>
              </w:rPr>
            </w:pPr>
            <w:r>
              <w:rPr>
                <w:rFonts w:hint="eastAsia" w:ascii="宋体" w:hAnsi="宋体" w:cs="宋体"/>
              </w:rPr>
              <w:t>1.软件由心脏检查模拟教学系统、肺脏检查模拟教学系统、腹部检查模拟教学系统、考核系统等四部分组成</w:t>
            </w:r>
          </w:p>
          <w:p>
            <w:pPr>
              <w:pStyle w:val="2"/>
              <w:spacing w:after="0"/>
              <w:rPr>
                <w:rFonts w:ascii="宋体" w:hAnsi="宋体" w:cs="宋体"/>
              </w:rPr>
            </w:pPr>
            <w:r>
              <w:rPr>
                <w:rFonts w:hint="eastAsia" w:ascii="宋体" w:hAnsi="宋体" w:cs="宋体"/>
              </w:rPr>
              <w:t>2.使用期限：永久</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7</w:t>
            </w:r>
          </w:p>
        </w:tc>
        <w:tc>
          <w:tcPr>
            <w:tcW w:w="1682" w:type="dxa"/>
            <w:vAlign w:val="center"/>
          </w:tcPr>
          <w:p>
            <w:pPr>
              <w:jc w:val="center"/>
              <w:rPr>
                <w:rFonts w:ascii="宋体" w:hAnsi="宋体" w:cs="宋体"/>
              </w:rPr>
            </w:pPr>
            <w:r>
              <w:rPr>
                <w:rFonts w:hint="eastAsia" w:ascii="宋体" w:hAnsi="宋体" w:cs="宋体"/>
              </w:rPr>
              <w:t>配套操作电脑（含显示器）</w:t>
            </w:r>
          </w:p>
        </w:tc>
        <w:tc>
          <w:tcPr>
            <w:tcW w:w="5988" w:type="dxa"/>
            <w:vAlign w:val="center"/>
          </w:tcPr>
          <w:p>
            <w:pPr>
              <w:pStyle w:val="2"/>
              <w:spacing w:after="0"/>
              <w:rPr>
                <w:rFonts w:ascii="宋体" w:hAnsi="宋体" w:cs="宋体"/>
              </w:rPr>
            </w:pPr>
            <w:r>
              <w:rPr>
                <w:rFonts w:hint="eastAsia" w:ascii="宋体" w:hAnsi="宋体" w:cs="宋体"/>
              </w:rPr>
              <w:t>1.处理器：</w:t>
            </w:r>
            <w:r>
              <w:rPr>
                <w:rFonts w:hint="eastAsia" w:ascii="宋体" w:hAnsi="宋体" w:cs="宋体"/>
                <w:color w:val="0000FF"/>
              </w:rPr>
              <w:t>英特尔</w:t>
            </w:r>
            <w:r>
              <w:rPr>
                <w:rFonts w:hint="eastAsia" w:ascii="宋体" w:hAnsi="宋体" w:cs="宋体"/>
              </w:rPr>
              <w:t>i5系列</w:t>
            </w:r>
          </w:p>
          <w:p>
            <w:pPr>
              <w:pStyle w:val="2"/>
              <w:spacing w:after="0"/>
              <w:rPr>
                <w:rFonts w:ascii="宋体" w:hAnsi="宋体" w:cs="宋体"/>
                <w:color w:val="0000FF"/>
              </w:rPr>
            </w:pPr>
            <w:r>
              <w:rPr>
                <w:rFonts w:hint="eastAsia" w:ascii="宋体" w:hAnsi="宋体" w:cs="宋体"/>
              </w:rPr>
              <w:t>2.操作系统：</w:t>
            </w:r>
            <w:r>
              <w:rPr>
                <w:rFonts w:hint="eastAsia" w:ascii="宋体" w:hAnsi="宋体" w:cs="宋体"/>
                <w:color w:val="0000FF"/>
              </w:rPr>
              <w:t>64位</w:t>
            </w:r>
          </w:p>
          <w:p>
            <w:pPr>
              <w:pStyle w:val="2"/>
              <w:spacing w:after="0"/>
              <w:rPr>
                <w:rFonts w:ascii="宋体" w:hAnsi="宋体" w:cs="宋体"/>
              </w:rPr>
            </w:pPr>
            <w:r>
              <w:rPr>
                <w:rFonts w:hint="eastAsia" w:ascii="宋体" w:hAnsi="宋体" w:cs="宋体"/>
              </w:rPr>
              <w:t>3.硬盘：500GB</w:t>
            </w:r>
          </w:p>
          <w:p>
            <w:pPr>
              <w:pStyle w:val="2"/>
              <w:spacing w:after="0"/>
              <w:rPr>
                <w:rFonts w:ascii="宋体" w:hAnsi="宋体" w:cs="宋体"/>
              </w:rPr>
            </w:pPr>
            <w:r>
              <w:rPr>
                <w:rFonts w:hint="eastAsia" w:ascii="宋体" w:hAnsi="宋体" w:cs="宋体"/>
              </w:rPr>
              <w:t>4.内存：4G</w:t>
            </w:r>
          </w:p>
          <w:p>
            <w:pPr>
              <w:pStyle w:val="2"/>
              <w:spacing w:after="0"/>
              <w:rPr>
                <w:rFonts w:ascii="宋体" w:hAnsi="宋体" w:cs="宋体"/>
              </w:rPr>
            </w:pPr>
            <w:r>
              <w:rPr>
                <w:rFonts w:hint="eastAsia" w:ascii="宋体" w:hAnsi="宋体" w:cs="宋体"/>
              </w:rPr>
              <w:t>5.显卡：NVIDIA GeForce GT 630</w:t>
            </w:r>
          </w:p>
          <w:p>
            <w:pPr>
              <w:pStyle w:val="2"/>
              <w:spacing w:after="0"/>
              <w:rPr>
                <w:rFonts w:ascii="宋体" w:hAnsi="宋体" w:cs="宋体"/>
              </w:rPr>
            </w:pPr>
            <w:r>
              <w:rPr>
                <w:rFonts w:hint="eastAsia" w:ascii="宋体" w:hAnsi="宋体" w:cs="宋体"/>
              </w:rPr>
              <w:t>6.显示器：华硕VZ24EHF，分辨率：1920×1080，尺寸：23.8，刷新率：100HZ</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tcPr>
          <w:p>
            <w:pPr>
              <w:jc w:val="center"/>
              <w:rPr>
                <w:rFonts w:ascii="宋体" w:hAnsi="宋体" w:cs="宋体"/>
                <w:sz w:val="24"/>
                <w:szCs w:val="24"/>
              </w:rPr>
            </w:pPr>
            <w:r>
              <w:rPr>
                <w:rFonts w:hint="eastAsia" w:ascii="宋体" w:hAnsi="宋体" w:cs="宋体"/>
                <w:sz w:val="24"/>
                <w:szCs w:val="24"/>
              </w:rPr>
              <w:t>8</w:t>
            </w:r>
          </w:p>
        </w:tc>
        <w:tc>
          <w:tcPr>
            <w:tcW w:w="1682" w:type="dxa"/>
            <w:vAlign w:val="center"/>
          </w:tcPr>
          <w:p>
            <w:pPr>
              <w:jc w:val="center"/>
              <w:rPr>
                <w:rFonts w:ascii="宋体" w:hAnsi="宋体" w:cs="宋体"/>
              </w:rPr>
            </w:pPr>
            <w:r>
              <w:rPr>
                <w:rFonts w:hint="eastAsia" w:ascii="宋体" w:hAnsi="宋体" w:cs="宋体"/>
              </w:rPr>
              <w:t>路由器</w:t>
            </w:r>
          </w:p>
        </w:tc>
        <w:tc>
          <w:tcPr>
            <w:tcW w:w="5988" w:type="dxa"/>
            <w:vAlign w:val="center"/>
          </w:tcPr>
          <w:p>
            <w:pPr>
              <w:pStyle w:val="2"/>
              <w:spacing w:after="0"/>
              <w:rPr>
                <w:rFonts w:ascii="宋体" w:hAnsi="宋体" w:cs="宋体"/>
              </w:rPr>
            </w:pPr>
            <w:r>
              <w:rPr>
                <w:rFonts w:hint="eastAsia" w:ascii="宋体" w:hAnsi="宋体" w:cs="宋体"/>
              </w:rPr>
              <w:t>普联TP 5660型号百兆，4口</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tcPr>
          <w:p>
            <w:pPr>
              <w:jc w:val="center"/>
              <w:rPr>
                <w:rFonts w:ascii="宋体" w:hAnsi="宋体" w:cs="宋体"/>
                <w:sz w:val="24"/>
                <w:szCs w:val="24"/>
              </w:rPr>
            </w:pPr>
            <w:r>
              <w:rPr>
                <w:rFonts w:hint="eastAsia" w:ascii="宋体" w:hAnsi="宋体" w:cs="宋体"/>
                <w:sz w:val="24"/>
                <w:szCs w:val="24"/>
              </w:rPr>
              <w:t>9</w:t>
            </w:r>
          </w:p>
        </w:tc>
        <w:tc>
          <w:tcPr>
            <w:tcW w:w="1682" w:type="dxa"/>
            <w:vAlign w:val="center"/>
          </w:tcPr>
          <w:p>
            <w:pPr>
              <w:jc w:val="center"/>
              <w:rPr>
                <w:rFonts w:ascii="宋体" w:hAnsi="宋体" w:cs="宋体"/>
              </w:rPr>
            </w:pPr>
            <w:r>
              <w:rPr>
                <w:rFonts w:hint="eastAsia" w:ascii="宋体" w:hAnsi="宋体" w:cs="宋体"/>
              </w:rPr>
              <w:t>16口交换机</w:t>
            </w:r>
          </w:p>
        </w:tc>
        <w:tc>
          <w:tcPr>
            <w:tcW w:w="5988" w:type="dxa"/>
            <w:vAlign w:val="center"/>
          </w:tcPr>
          <w:p>
            <w:pPr>
              <w:pStyle w:val="2"/>
              <w:spacing w:after="0"/>
              <w:rPr>
                <w:rFonts w:ascii="宋体" w:hAnsi="宋体" w:cs="宋体"/>
              </w:rPr>
            </w:pPr>
            <w:r>
              <w:rPr>
                <w:rFonts w:hint="eastAsia" w:ascii="宋体" w:hAnsi="宋体" w:cs="宋体"/>
              </w:rPr>
              <w:t xml:space="preserve">普联TP TL-SF 1016S 机架式钢壳 </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vAlign w:val="center"/>
          </w:tcPr>
          <w:p>
            <w:pPr>
              <w:jc w:val="center"/>
              <w:rPr>
                <w:rFonts w:ascii="宋体" w:hAnsi="宋体" w:cs="宋体"/>
                <w:sz w:val="24"/>
                <w:szCs w:val="24"/>
              </w:rPr>
            </w:pPr>
            <w:r>
              <w:rPr>
                <w:rFonts w:hint="eastAsia" w:ascii="宋体" w:hAnsi="宋体" w:cs="宋体"/>
                <w:sz w:val="24"/>
                <w:szCs w:val="24"/>
              </w:rPr>
              <w:t>10</w:t>
            </w:r>
          </w:p>
        </w:tc>
        <w:tc>
          <w:tcPr>
            <w:tcW w:w="1682" w:type="dxa"/>
            <w:vAlign w:val="center"/>
          </w:tcPr>
          <w:p>
            <w:pPr>
              <w:jc w:val="center"/>
              <w:rPr>
                <w:rFonts w:ascii="宋体" w:hAnsi="宋体" w:cs="宋体"/>
              </w:rPr>
            </w:pPr>
            <w:r>
              <w:rPr>
                <w:rFonts w:hint="eastAsia" w:ascii="宋体" w:hAnsi="宋体" w:cs="宋体"/>
              </w:rPr>
              <w:t>防静电地板</w:t>
            </w:r>
          </w:p>
        </w:tc>
        <w:tc>
          <w:tcPr>
            <w:tcW w:w="5988" w:type="dxa"/>
            <w:vAlign w:val="center"/>
          </w:tcPr>
          <w:p>
            <w:pPr>
              <w:pStyle w:val="2"/>
              <w:spacing w:after="0"/>
              <w:rPr>
                <w:rFonts w:ascii="宋体" w:hAnsi="宋体" w:cs="宋体"/>
              </w:rPr>
            </w:pPr>
            <w:r>
              <w:rPr>
                <w:rFonts w:hint="eastAsia" w:ascii="宋体" w:hAnsi="宋体" w:cs="宋体"/>
              </w:rPr>
              <w:t>1.面层材料品种、规格：600×600×35（mm）HPL面抗静电地板、含支架等支撑体系。</w:t>
            </w:r>
          </w:p>
          <w:p>
            <w:pPr>
              <w:pStyle w:val="2"/>
              <w:spacing w:after="0"/>
              <w:rPr>
                <w:rFonts w:ascii="宋体" w:hAnsi="宋体" w:cs="宋体"/>
              </w:rPr>
            </w:pPr>
            <w:r>
              <w:rPr>
                <w:rFonts w:hint="eastAsia" w:ascii="宋体" w:hAnsi="宋体" w:cs="宋体"/>
              </w:rPr>
              <w:t>2.含包边。</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tcPr>
          <w:p>
            <w:pPr>
              <w:jc w:val="center"/>
              <w:rPr>
                <w:rFonts w:ascii="宋体" w:hAnsi="宋体" w:cs="宋体"/>
                <w:sz w:val="24"/>
                <w:szCs w:val="24"/>
              </w:rPr>
            </w:pPr>
            <w:r>
              <w:rPr>
                <w:rFonts w:hint="eastAsia" w:ascii="宋体" w:hAnsi="宋体" w:cs="宋体"/>
                <w:sz w:val="24"/>
                <w:szCs w:val="24"/>
              </w:rPr>
              <w:t>11</w:t>
            </w:r>
          </w:p>
        </w:tc>
        <w:tc>
          <w:tcPr>
            <w:tcW w:w="1682" w:type="dxa"/>
            <w:vAlign w:val="center"/>
          </w:tcPr>
          <w:p>
            <w:pPr>
              <w:jc w:val="center"/>
              <w:rPr>
                <w:rFonts w:ascii="宋体" w:hAnsi="宋体" w:cs="宋体"/>
              </w:rPr>
            </w:pPr>
            <w:r>
              <w:rPr>
                <w:rFonts w:hint="eastAsia" w:ascii="宋体" w:hAnsi="宋体" w:cs="宋体"/>
              </w:rPr>
              <w:t>防水平推式双五孔地插（含网络插口）</w:t>
            </w:r>
          </w:p>
        </w:tc>
        <w:tc>
          <w:tcPr>
            <w:tcW w:w="5988" w:type="dxa"/>
            <w:vAlign w:val="center"/>
          </w:tcPr>
          <w:p>
            <w:pPr>
              <w:pStyle w:val="2"/>
              <w:spacing w:after="0"/>
              <w:rPr>
                <w:rFonts w:ascii="宋体" w:hAnsi="宋体" w:cs="宋体"/>
              </w:rPr>
            </w:pPr>
            <w:r>
              <w:rPr>
                <w:rFonts w:hint="eastAsia" w:ascii="宋体" w:hAnsi="宋体" w:cs="宋体"/>
              </w:rPr>
              <w:t>五孔16A，尺寸86mm*86mm，功率2500W</w:t>
            </w:r>
          </w:p>
        </w:tc>
        <w:tc>
          <w:tcPr>
            <w:tcW w:w="821" w:type="dxa"/>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7" w:type="dxa"/>
          </w:tcPr>
          <w:p>
            <w:pPr>
              <w:jc w:val="center"/>
              <w:rPr>
                <w:rFonts w:ascii="宋体" w:hAnsi="宋体" w:cs="宋体"/>
                <w:sz w:val="24"/>
                <w:szCs w:val="24"/>
              </w:rPr>
            </w:pPr>
            <w:r>
              <w:rPr>
                <w:rFonts w:hint="eastAsia" w:ascii="宋体" w:hAnsi="宋体" w:cs="宋体"/>
                <w:sz w:val="24"/>
                <w:szCs w:val="24"/>
              </w:rPr>
              <w:t>12</w:t>
            </w:r>
          </w:p>
        </w:tc>
        <w:tc>
          <w:tcPr>
            <w:tcW w:w="1682" w:type="dxa"/>
            <w:vAlign w:val="center"/>
          </w:tcPr>
          <w:p>
            <w:pPr>
              <w:jc w:val="center"/>
              <w:rPr>
                <w:rFonts w:ascii="宋体" w:hAnsi="宋体" w:cs="宋体"/>
              </w:rPr>
            </w:pPr>
            <w:r>
              <w:rPr>
                <w:rFonts w:hint="eastAsia" w:ascii="宋体" w:hAnsi="宋体" w:cs="宋体"/>
              </w:rPr>
              <w:t>相关配套附件、辅材、安装费用等</w:t>
            </w:r>
          </w:p>
        </w:tc>
        <w:tc>
          <w:tcPr>
            <w:tcW w:w="5988" w:type="dxa"/>
          </w:tcPr>
          <w:p>
            <w:pPr>
              <w:pStyle w:val="52"/>
              <w:spacing w:line="240" w:lineRule="auto"/>
              <w:ind w:firstLine="0"/>
              <w:rPr>
                <w:rFonts w:ascii="宋体" w:hAnsi="宋体" w:cs="宋体"/>
                <w:szCs w:val="21"/>
              </w:rPr>
            </w:pPr>
          </w:p>
        </w:tc>
        <w:tc>
          <w:tcPr>
            <w:tcW w:w="821" w:type="dxa"/>
          </w:tcPr>
          <w:p>
            <w:pPr>
              <w:jc w:val="center"/>
              <w:rPr>
                <w:rFonts w:ascii="宋体" w:hAnsi="宋体" w:cs="宋体"/>
                <w:b/>
                <w:bCs/>
              </w:rPr>
            </w:pPr>
          </w:p>
        </w:tc>
      </w:tr>
    </w:tbl>
    <w:p>
      <w:pPr>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二、采购数量</w:t>
      </w:r>
    </w:p>
    <w:tbl>
      <w:tblPr>
        <w:tblStyle w:val="54"/>
        <w:tblpPr w:leftFromText="180" w:rightFromText="180" w:vertAnchor="text" w:horzAnchor="page" w:tblpX="1675" w:tblpY="8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52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b/>
                <w:bCs/>
                <w:sz w:val="24"/>
                <w:szCs w:val="24"/>
              </w:rPr>
            </w:pPr>
            <w:r>
              <w:rPr>
                <w:rFonts w:hint="eastAsia" w:ascii="宋体" w:hAnsi="宋体" w:cs="宋体"/>
                <w:b/>
                <w:bCs/>
                <w:sz w:val="24"/>
                <w:szCs w:val="24"/>
              </w:rPr>
              <w:t>序号</w:t>
            </w:r>
          </w:p>
        </w:tc>
        <w:tc>
          <w:tcPr>
            <w:tcW w:w="5529" w:type="dxa"/>
          </w:tcPr>
          <w:p>
            <w:pPr>
              <w:spacing w:line="340" w:lineRule="exact"/>
              <w:jc w:val="center"/>
              <w:rPr>
                <w:rFonts w:ascii="宋体" w:hAnsi="宋体" w:cs="宋体"/>
                <w:b/>
                <w:bCs/>
                <w:sz w:val="24"/>
                <w:szCs w:val="24"/>
              </w:rPr>
            </w:pPr>
            <w:r>
              <w:rPr>
                <w:rFonts w:hint="eastAsia" w:ascii="宋体" w:hAnsi="宋体" w:cs="宋体"/>
                <w:b/>
                <w:bCs/>
                <w:sz w:val="24"/>
                <w:szCs w:val="24"/>
              </w:rPr>
              <w:t>配置设备名称</w:t>
            </w:r>
          </w:p>
        </w:tc>
        <w:tc>
          <w:tcPr>
            <w:tcW w:w="992" w:type="dxa"/>
          </w:tcPr>
          <w:p>
            <w:pPr>
              <w:spacing w:line="340" w:lineRule="exact"/>
              <w:jc w:val="center"/>
              <w:rPr>
                <w:rFonts w:ascii="宋体" w:hAnsi="宋体" w:cs="宋体"/>
                <w:b/>
                <w:bCs/>
                <w:sz w:val="24"/>
                <w:szCs w:val="24"/>
              </w:rPr>
            </w:pPr>
            <w:r>
              <w:rPr>
                <w:rFonts w:hint="eastAsia" w:ascii="宋体" w:hAnsi="宋体" w:cs="宋体"/>
                <w:b/>
                <w:bCs/>
                <w:sz w:val="24"/>
                <w:szCs w:val="24"/>
              </w:rPr>
              <w:t>数量</w:t>
            </w:r>
          </w:p>
        </w:tc>
        <w:tc>
          <w:tcPr>
            <w:tcW w:w="992" w:type="dxa"/>
          </w:tcPr>
          <w:p>
            <w:pPr>
              <w:spacing w:line="340" w:lineRule="exact"/>
              <w:jc w:val="center"/>
              <w:rPr>
                <w:rFonts w:ascii="宋体" w:hAns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1</w:t>
            </w:r>
          </w:p>
        </w:tc>
        <w:tc>
          <w:tcPr>
            <w:tcW w:w="5529" w:type="dxa"/>
          </w:tcPr>
          <w:p>
            <w:pPr>
              <w:spacing w:line="340" w:lineRule="exact"/>
              <w:jc w:val="center"/>
              <w:rPr>
                <w:rFonts w:ascii="宋体" w:hAnsi="宋体" w:cs="宋体"/>
              </w:rPr>
            </w:pPr>
            <w:r>
              <w:rPr>
                <w:rFonts w:hint="eastAsia" w:ascii="宋体" w:hAnsi="宋体" w:cs="宋体"/>
              </w:rPr>
              <w:t>胸、腹部检查智能模拟训练系统  网络版-教师主控机</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992" w:type="dxa"/>
          </w:tcPr>
          <w:p>
            <w:pPr>
              <w:spacing w:line="340" w:lineRule="exact"/>
              <w:jc w:val="center"/>
              <w:rPr>
                <w:rFonts w:ascii="宋体" w:hAnsi="宋体" w:cs="宋体"/>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2</w:t>
            </w:r>
          </w:p>
        </w:tc>
        <w:tc>
          <w:tcPr>
            <w:tcW w:w="5529" w:type="dxa"/>
          </w:tcPr>
          <w:p>
            <w:pPr>
              <w:spacing w:line="340" w:lineRule="exact"/>
              <w:jc w:val="center"/>
              <w:rPr>
                <w:rFonts w:ascii="宋体" w:hAnsi="宋体" w:cs="宋体"/>
              </w:rPr>
            </w:pPr>
            <w:r>
              <w:rPr>
                <w:rFonts w:hint="eastAsia" w:ascii="宋体" w:hAnsi="宋体" w:cs="宋体"/>
              </w:rPr>
              <w:t>胸、腹部检查智能模拟训练系统  网络版－学生终端机</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15</w:t>
            </w:r>
          </w:p>
        </w:tc>
        <w:tc>
          <w:tcPr>
            <w:tcW w:w="992" w:type="dxa"/>
          </w:tcPr>
          <w:p>
            <w:pPr>
              <w:spacing w:line="340" w:lineRule="exact"/>
              <w:jc w:val="center"/>
              <w:rPr>
                <w:rFonts w:ascii="宋体" w:hAnsi="宋体" w:cs="宋体"/>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3</w:t>
            </w:r>
          </w:p>
        </w:tc>
        <w:tc>
          <w:tcPr>
            <w:tcW w:w="5529" w:type="dxa"/>
          </w:tcPr>
          <w:p>
            <w:pPr>
              <w:spacing w:line="340" w:lineRule="exact"/>
              <w:jc w:val="center"/>
              <w:rPr>
                <w:rFonts w:ascii="宋体" w:hAnsi="宋体" w:cs="宋体"/>
                <w:sz w:val="24"/>
                <w:szCs w:val="24"/>
              </w:rPr>
            </w:pPr>
            <w:r>
              <w:rPr>
                <w:rFonts w:hint="eastAsia" w:ascii="宋体" w:hAnsi="宋体" w:cs="宋体"/>
              </w:rPr>
              <w:t>可电动升降功能实验台</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4</w:t>
            </w:r>
          </w:p>
        </w:tc>
        <w:tc>
          <w:tcPr>
            <w:tcW w:w="5529" w:type="dxa"/>
          </w:tcPr>
          <w:p>
            <w:pPr>
              <w:spacing w:line="340" w:lineRule="exact"/>
              <w:jc w:val="center"/>
              <w:rPr>
                <w:rFonts w:ascii="宋体" w:hAnsi="宋体" w:cs="宋体"/>
                <w:sz w:val="24"/>
                <w:szCs w:val="24"/>
              </w:rPr>
            </w:pPr>
            <w:r>
              <w:rPr>
                <w:rFonts w:hint="eastAsia" w:ascii="宋体" w:hAnsi="宋体" w:cs="宋体"/>
              </w:rPr>
              <w:t>听诊器</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32</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5</w:t>
            </w:r>
          </w:p>
        </w:tc>
        <w:tc>
          <w:tcPr>
            <w:tcW w:w="5529" w:type="dxa"/>
          </w:tcPr>
          <w:p>
            <w:pPr>
              <w:spacing w:line="340" w:lineRule="exact"/>
              <w:jc w:val="center"/>
              <w:rPr>
                <w:rFonts w:ascii="宋体" w:hAnsi="宋体" w:cs="宋体"/>
                <w:sz w:val="24"/>
                <w:szCs w:val="24"/>
              </w:rPr>
            </w:pPr>
            <w:r>
              <w:rPr>
                <w:rFonts w:hint="eastAsia" w:ascii="宋体" w:hAnsi="宋体" w:cs="宋体"/>
              </w:rPr>
              <w:t>显示端旋转支架</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6</w:t>
            </w:r>
          </w:p>
        </w:tc>
        <w:tc>
          <w:tcPr>
            <w:tcW w:w="5529" w:type="dxa"/>
          </w:tcPr>
          <w:p>
            <w:pPr>
              <w:spacing w:line="340" w:lineRule="exact"/>
              <w:jc w:val="center"/>
              <w:rPr>
                <w:rFonts w:ascii="宋体" w:hAnsi="宋体" w:cs="宋体"/>
                <w:sz w:val="24"/>
                <w:szCs w:val="24"/>
              </w:rPr>
            </w:pPr>
            <w:r>
              <w:rPr>
                <w:rFonts w:hint="eastAsia" w:ascii="宋体" w:hAnsi="宋体" w:cs="宋体"/>
              </w:rPr>
              <w:t>胸、腹部检查虚拟仿真训练系统光盘</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7</w:t>
            </w:r>
          </w:p>
        </w:tc>
        <w:tc>
          <w:tcPr>
            <w:tcW w:w="5529" w:type="dxa"/>
          </w:tcPr>
          <w:p>
            <w:pPr>
              <w:spacing w:line="340" w:lineRule="exact"/>
              <w:jc w:val="center"/>
              <w:rPr>
                <w:rFonts w:ascii="宋体" w:hAnsi="宋体" w:cs="宋体"/>
                <w:sz w:val="24"/>
                <w:szCs w:val="24"/>
              </w:rPr>
            </w:pPr>
            <w:r>
              <w:rPr>
                <w:rFonts w:hint="eastAsia" w:ascii="宋体" w:hAnsi="宋体" w:cs="宋体"/>
              </w:rPr>
              <w:t>配套操作电脑（含显示器）</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8</w:t>
            </w:r>
          </w:p>
        </w:tc>
        <w:tc>
          <w:tcPr>
            <w:tcW w:w="5529" w:type="dxa"/>
          </w:tcPr>
          <w:p>
            <w:pPr>
              <w:spacing w:line="340" w:lineRule="exact"/>
              <w:jc w:val="center"/>
              <w:rPr>
                <w:rFonts w:ascii="宋体" w:hAnsi="宋体" w:cs="宋体"/>
                <w:sz w:val="24"/>
                <w:szCs w:val="24"/>
              </w:rPr>
            </w:pPr>
            <w:r>
              <w:rPr>
                <w:rFonts w:hint="eastAsia" w:ascii="宋体" w:hAnsi="宋体" w:cs="宋体"/>
              </w:rPr>
              <w:t>路由器</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9</w:t>
            </w:r>
          </w:p>
        </w:tc>
        <w:tc>
          <w:tcPr>
            <w:tcW w:w="5529" w:type="dxa"/>
          </w:tcPr>
          <w:p>
            <w:pPr>
              <w:spacing w:line="340" w:lineRule="exact"/>
              <w:jc w:val="center"/>
              <w:rPr>
                <w:rFonts w:ascii="宋体" w:hAnsi="宋体" w:cs="宋体"/>
                <w:sz w:val="24"/>
                <w:szCs w:val="24"/>
              </w:rPr>
            </w:pPr>
            <w:r>
              <w:rPr>
                <w:rFonts w:hint="eastAsia" w:ascii="宋体" w:hAnsi="宋体" w:cs="宋体"/>
              </w:rPr>
              <w:t>16口交换机</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10</w:t>
            </w:r>
          </w:p>
        </w:tc>
        <w:tc>
          <w:tcPr>
            <w:tcW w:w="5529" w:type="dxa"/>
          </w:tcPr>
          <w:p>
            <w:pPr>
              <w:spacing w:line="340" w:lineRule="exact"/>
              <w:jc w:val="center"/>
              <w:rPr>
                <w:rFonts w:ascii="宋体" w:hAnsi="宋体" w:cs="宋体"/>
                <w:sz w:val="24"/>
                <w:szCs w:val="24"/>
              </w:rPr>
            </w:pPr>
            <w:r>
              <w:rPr>
                <w:rFonts w:hint="eastAsia" w:ascii="宋体" w:hAnsi="宋体" w:cs="宋体"/>
              </w:rPr>
              <w:t>防静电地板</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100</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11</w:t>
            </w:r>
          </w:p>
        </w:tc>
        <w:tc>
          <w:tcPr>
            <w:tcW w:w="5529" w:type="dxa"/>
          </w:tcPr>
          <w:p>
            <w:pPr>
              <w:spacing w:line="340" w:lineRule="exact"/>
              <w:jc w:val="center"/>
              <w:rPr>
                <w:rFonts w:ascii="宋体" w:hAnsi="宋体" w:cs="宋体"/>
              </w:rPr>
            </w:pPr>
            <w:r>
              <w:rPr>
                <w:rFonts w:hint="eastAsia" w:ascii="宋体" w:hAnsi="宋体" w:cs="宋体"/>
              </w:rPr>
              <w:t>防水平推式双五孔地插（含网络插口）</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tcPr>
          <w:p>
            <w:pPr>
              <w:spacing w:line="340" w:lineRule="exact"/>
              <w:jc w:val="center"/>
              <w:rPr>
                <w:rFonts w:ascii="宋体" w:hAnsi="宋体" w:cs="宋体"/>
                <w:sz w:val="24"/>
                <w:szCs w:val="24"/>
              </w:rPr>
            </w:pPr>
            <w:r>
              <w:rPr>
                <w:rFonts w:hint="eastAsia" w:ascii="宋体" w:hAnsi="宋体" w:cs="宋体"/>
                <w:sz w:val="24"/>
                <w:szCs w:val="24"/>
              </w:rPr>
              <w:t>12</w:t>
            </w:r>
          </w:p>
        </w:tc>
        <w:tc>
          <w:tcPr>
            <w:tcW w:w="5529" w:type="dxa"/>
          </w:tcPr>
          <w:p>
            <w:pPr>
              <w:spacing w:line="340" w:lineRule="exact"/>
              <w:jc w:val="center"/>
              <w:rPr>
                <w:rFonts w:ascii="宋体" w:hAnsi="宋体" w:cs="宋体"/>
                <w:sz w:val="24"/>
                <w:szCs w:val="24"/>
              </w:rPr>
            </w:pPr>
            <w:r>
              <w:rPr>
                <w:rFonts w:hint="eastAsia" w:ascii="宋体" w:hAnsi="宋体" w:cs="宋体"/>
              </w:rPr>
              <w:t>相关配套附件、辅材、安装调试费用等</w:t>
            </w:r>
          </w:p>
        </w:tc>
        <w:tc>
          <w:tcPr>
            <w:tcW w:w="992"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992" w:type="dxa"/>
          </w:tcPr>
          <w:p>
            <w:pPr>
              <w:spacing w:line="340" w:lineRule="exact"/>
              <w:jc w:val="center"/>
              <w:rPr>
                <w:rFonts w:ascii="宋体" w:hAnsi="宋体" w:cs="宋体"/>
                <w:sz w:val="24"/>
                <w:szCs w:val="24"/>
              </w:rPr>
            </w:pPr>
            <w:r>
              <w:rPr>
                <w:rFonts w:hint="eastAsia" w:ascii="宋体" w:hAnsi="宋体" w:cs="宋体"/>
                <w:sz w:val="24"/>
                <w:szCs w:val="24"/>
              </w:rPr>
              <w:t>项</w:t>
            </w:r>
          </w:p>
        </w:tc>
      </w:tr>
    </w:tbl>
    <w:p>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三、商务要求</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1.交付期：合同签订后30个工作日内；</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2.实施地点：江苏省南通卫生高等职业技术学校护理系</w:t>
      </w:r>
    </w:p>
    <w:p>
      <w:pPr>
        <w:pStyle w:val="2"/>
        <w:spacing w:after="0" w:line="460" w:lineRule="exact"/>
        <w:ind w:firstLine="560" w:firstLineChars="200"/>
        <w:rPr>
          <w:rFonts w:ascii="宋体" w:hAnsi="宋体" w:cs="宋体"/>
          <w:sz w:val="28"/>
          <w:szCs w:val="28"/>
        </w:rPr>
      </w:pPr>
      <w:r>
        <w:rPr>
          <w:rFonts w:hint="eastAsia" w:ascii="宋体" w:hAnsi="宋体" w:cs="宋体"/>
          <w:sz w:val="28"/>
          <w:szCs w:val="28"/>
        </w:rPr>
        <w:t>3.质保/维保期：均3年</w:t>
      </w:r>
    </w:p>
    <w:p>
      <w:pPr>
        <w:snapToGrid w:val="0"/>
        <w:spacing w:line="4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sz w:val="28"/>
          <w:szCs w:val="28"/>
        </w:rPr>
        <w:t>四、</w:t>
      </w:r>
      <w:r>
        <w:rPr>
          <w:rFonts w:hint="eastAsia" w:ascii="宋体" w:hAnsi="宋体" w:cs="宋体"/>
          <w:b/>
          <w:bCs/>
          <w:color w:val="000000" w:themeColor="text1"/>
          <w:sz w:val="28"/>
          <w:szCs w:val="28"/>
          <w14:textFill>
            <w14:solidFill>
              <w14:schemeClr w14:val="tx1"/>
            </w14:solidFill>
          </w14:textFill>
        </w:rPr>
        <w:t>样品</w:t>
      </w:r>
    </w:p>
    <w:p>
      <w:pPr>
        <w:pStyle w:val="2"/>
        <w:spacing w:after="0" w:line="460" w:lineRule="exact"/>
        <w:ind w:firstLine="560" w:firstLineChars="200"/>
        <w:rPr>
          <w:rFonts w:ascii="宋体" w:hAnsi="宋体" w:cs="宋体"/>
          <w:color w:val="000000" w:themeColor="text1"/>
          <w:kern w:val="2"/>
          <w:sz w:val="28"/>
          <w:szCs w:val="28"/>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1.项目要求提供样品的，中标人的样品由采购人负责保管、封存，并作为履约验收的参考。未中标人的样品将及时退还。</w:t>
      </w:r>
    </w:p>
    <w:p>
      <w:pPr>
        <w:pStyle w:val="2"/>
        <w:spacing w:after="0" w:line="460" w:lineRule="exact"/>
        <w:ind w:firstLine="560" w:firstLineChars="200"/>
        <w:rPr>
          <w:rFonts w:ascii="宋体" w:hAnsi="宋体" w:cs="宋体"/>
          <w:color w:val="000000" w:themeColor="text1"/>
          <w:kern w:val="2"/>
          <w:sz w:val="28"/>
          <w:szCs w:val="28"/>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2.请供应商提供所投货物（设备）的样品如下，包括：</w:t>
      </w:r>
    </w:p>
    <w:p>
      <w:pPr>
        <w:pStyle w:val="2"/>
        <w:spacing w:after="0" w:line="460" w:lineRule="exact"/>
        <w:ind w:firstLine="560" w:firstLineChars="200"/>
        <w:rPr>
          <w:rFonts w:ascii="宋体" w:hAnsi="宋体" w:cs="宋体"/>
          <w:color w:val="000000" w:themeColor="text1"/>
          <w:kern w:val="2"/>
          <w:sz w:val="28"/>
          <w:szCs w:val="28"/>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（1）胸、腹部检查智能模拟训练系统  网络版-教师主控机</w:t>
      </w:r>
    </w:p>
    <w:p>
      <w:pPr>
        <w:pStyle w:val="2"/>
        <w:spacing w:after="0" w:line="460" w:lineRule="exact"/>
        <w:ind w:firstLine="560" w:firstLineChars="200"/>
        <w:rPr>
          <w:rFonts w:ascii="宋体" w:hAnsi="宋体" w:cs="宋体"/>
          <w:color w:val="000000" w:themeColor="text1"/>
          <w:kern w:val="2"/>
          <w:sz w:val="28"/>
          <w:szCs w:val="28"/>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3.样品提交及安装完成时间：2024年6月19日起至：2024年7月8日9时30分止，采购人负责接收样品。样品递交地点：南通市经济技术开发区振兴东路288号南通卫生高职校行政楼1408室，样品递交联系方式：罗老师</w:t>
      </w:r>
      <w:r>
        <w:rPr>
          <w:rFonts w:ascii="宋体" w:hAnsi="宋体" w:cs="宋体"/>
          <w:color w:val="000000" w:themeColor="text1"/>
          <w:kern w:val="2"/>
          <w:sz w:val="28"/>
          <w:szCs w:val="28"/>
          <w14:textFill>
            <w14:solidFill>
              <w14:schemeClr w14:val="tx1"/>
            </w14:solidFill>
          </w14:textFill>
        </w:rPr>
        <w:t>13962911616</w:t>
      </w:r>
      <w:r>
        <w:rPr>
          <w:rFonts w:hint="eastAsia" w:ascii="宋体" w:hAnsi="宋体" w:cs="宋体"/>
          <w:color w:val="000000" w:themeColor="text1"/>
          <w:kern w:val="2"/>
          <w:sz w:val="28"/>
          <w:szCs w:val="28"/>
          <w14:textFill>
            <w14:solidFill>
              <w14:schemeClr w14:val="tx1"/>
            </w14:solidFill>
          </w14:textFill>
        </w:rPr>
        <w:t>。</w:t>
      </w:r>
    </w:p>
    <w:p>
      <w:pPr>
        <w:snapToGrid w:val="0"/>
        <w:spacing w:line="460" w:lineRule="exact"/>
        <w:ind w:firstLine="562" w:firstLineChars="200"/>
        <w:rPr>
          <w:rFonts w:ascii="宋体" w:hAnsi="宋体" w:cs="宋体"/>
          <w:sz w:val="28"/>
          <w:szCs w:val="28"/>
        </w:rPr>
      </w:pPr>
      <w:r>
        <w:rPr>
          <w:rFonts w:hint="eastAsia" w:ascii="宋体" w:hAnsi="宋体" w:cs="宋体"/>
          <w:b/>
          <w:bCs/>
          <w:sz w:val="28"/>
          <w:szCs w:val="28"/>
        </w:rPr>
        <w:t>五、样品演示</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1.投标人须进行现场样品演示讲解，</w:t>
      </w:r>
      <w:r>
        <w:rPr>
          <w:rFonts w:hint="eastAsia" w:ascii="宋体" w:hAnsi="宋体" w:cs="宋体"/>
          <w:kern w:val="2"/>
          <w:sz w:val="28"/>
          <w:szCs w:val="28"/>
        </w:rPr>
        <w:br w:type="textWrapping"/>
      </w:r>
      <w:r>
        <w:rPr>
          <w:rFonts w:hint="eastAsia" w:ascii="宋体" w:hAnsi="宋体" w:cs="宋体"/>
          <w:kern w:val="2"/>
          <w:sz w:val="28"/>
          <w:szCs w:val="28"/>
        </w:rPr>
        <w:t>演示内容如下：</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（1）采用视频动画与三维交互表现形式，同时相应的病例配备心音图、心电图，可在模型上同步体验心尖搏动、负性心尖搏动以及震颤，心音图/心电图/声音随心率调整而随之变化，并达到同步。</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（2）可查看不同角度的血流走向和器官状态，形象阐释病理体征的解剖结构、心脏瓣膜、血流的血液动力学变化及听诊音产生原理。</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（3）教学内容包含叩诊方法及顺序、正常心界及心浊音界改变的4种常见心脏疾病（梨形心、靴形心、球形心、三角形烧瓶样）、正常心脏相对浊音界范围相关的内容及体征（不低于5种）。</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4）心率可调节，具备3D动画、心音图、心电图和声音随心率调整而随之变化，并达到同步。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（5）呼吸频率具备≥13种可调节模式，均有心电图和呼吸波型显示，呼吸频率可调节。</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（6）腹部叩诊：叩诊包含≥ 9 种内容，包含腹部叩诊方法、肝浊音界、胃泡鼓音区等；叩痛包含：肋脊角叩痛、肝区叩痛相关的内容。</w:t>
      </w:r>
    </w:p>
    <w:p>
      <w:pPr>
        <w:pStyle w:val="2"/>
        <w:spacing w:after="0" w:line="460" w:lineRule="exact"/>
        <w:ind w:firstLine="560" w:firstLineChars="200"/>
        <w:rPr>
          <w:rFonts w:ascii="宋体" w:hAnsi="宋体" w:cs="宋体"/>
          <w:kern w:val="2"/>
          <w:sz w:val="28"/>
          <w:szCs w:val="28"/>
        </w:rPr>
      </w:pPr>
      <w:r>
        <w:rPr>
          <w:rFonts w:hint="eastAsia" w:ascii="宋体" w:hAnsi="宋体" w:cs="宋体"/>
          <w:kern w:val="2"/>
          <w:sz w:val="28"/>
          <w:szCs w:val="28"/>
        </w:rPr>
        <w:t>（7）腹部听诊包含至少5种肠鸣音、6处血管杂音以及摩擦音和搔刮试验等相关内容。</w:t>
      </w:r>
    </w:p>
    <w:p>
      <w:pPr>
        <w:snapToGrid w:val="0"/>
        <w:spacing w:line="460" w:lineRule="exact"/>
        <w:ind w:firstLine="562" w:firstLineChars="200"/>
        <w:rPr>
          <w:rFonts w:ascii="宋体" w:hAnsi="宋体" w:cs="宋体"/>
          <w:sz w:val="28"/>
          <w:szCs w:val="28"/>
        </w:rPr>
      </w:pPr>
      <w:r>
        <w:rPr>
          <w:rFonts w:hint="eastAsia" w:ascii="宋体" w:hAnsi="宋体" w:cs="宋体"/>
          <w:b/>
          <w:bCs/>
          <w:sz w:val="28"/>
          <w:szCs w:val="28"/>
        </w:rPr>
        <w:t>六、付款方式</w:t>
      </w:r>
    </w:p>
    <w:p>
      <w:pPr>
        <w:spacing w:line="460" w:lineRule="exact"/>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合同签订后支付合同价的30%预付款；</w:t>
      </w:r>
    </w:p>
    <w:p>
      <w:pPr>
        <w:snapToGrid w:val="0"/>
        <w:spacing w:line="460" w:lineRule="exact"/>
        <w:ind w:firstLine="560" w:firstLineChars="200"/>
        <w:rPr>
          <w:rFonts w:ascii="宋体" w:hAnsi="宋体" w:cs="宋体"/>
          <w:sz w:val="36"/>
          <w:szCs w:val="36"/>
        </w:rPr>
      </w:pPr>
      <w:r>
        <w:rPr>
          <w:rFonts w:hint="eastAsia" w:ascii="宋体" w:hAnsi="宋体" w:cs="宋体"/>
          <w:sz w:val="28"/>
          <w:szCs w:val="28"/>
        </w:rPr>
        <w:t>3.</w:t>
      </w:r>
      <w:r>
        <w:rPr>
          <w:rFonts w:hint="eastAsia" w:ascii="宋体" w:hAnsi="宋体" w:cs="宋体"/>
          <w:sz w:val="28"/>
          <w:szCs w:val="28"/>
          <w:lang w:val="zh-CN"/>
        </w:rPr>
        <w:t>安装调试正常使用、对师生培训完成，经验收合格后支付合同价款的60%，一年后支付合同价的5%，三年后再支付合同价的5%。</w:t>
      </w:r>
    </w:p>
    <w:p>
      <w:pPr>
        <w:spacing w:line="460" w:lineRule="exact"/>
        <w:ind w:firstLine="723" w:firstLineChars="200"/>
        <w:rPr>
          <w:rFonts w:ascii="宋体" w:hAnsi="宋体" w:cs="宋体"/>
          <w:b/>
          <w:bCs/>
          <w:sz w:val="36"/>
          <w:szCs w:val="36"/>
        </w:rPr>
      </w:pPr>
      <w:r>
        <w:rPr>
          <w:rFonts w:hint="eastAsia" w:ascii="宋体" w:hAnsi="宋体" w:cs="宋体"/>
          <w:b/>
          <w:bCs/>
          <w:sz w:val="36"/>
          <w:szCs w:val="36"/>
        </w:rPr>
        <w:br w:type="page"/>
      </w:r>
    </w:p>
    <w:p>
      <w:pPr>
        <w:snapToGrid w:val="0"/>
        <w:spacing w:line="480" w:lineRule="exact"/>
        <w:ind w:firstLine="723" w:firstLineChars="200"/>
        <w:jc w:val="center"/>
        <w:rPr>
          <w:rFonts w:ascii="宋体" w:hAnsi="宋体" w:cs="宋体"/>
          <w:b/>
          <w:bCs/>
          <w:sz w:val="36"/>
          <w:szCs w:val="36"/>
        </w:rPr>
      </w:pPr>
      <w:r>
        <w:rPr>
          <w:rFonts w:hint="eastAsia" w:ascii="宋体" w:hAnsi="宋体" w:cs="宋体"/>
          <w:b/>
          <w:bCs/>
          <w:sz w:val="36"/>
          <w:szCs w:val="36"/>
        </w:rPr>
        <w:t>第四部分 开标和评标</w:t>
      </w:r>
    </w:p>
    <w:p>
      <w:pPr>
        <w:pStyle w:val="212"/>
        <w:snapToGrid w:val="0"/>
        <w:spacing w:before="0" w:after="0" w:line="460" w:lineRule="exact"/>
        <w:ind w:left="0" w:right="0" w:firstLine="562" w:firstLineChars="200"/>
        <w:jc w:val="left"/>
        <w:rPr>
          <w:rFonts w:ascii="宋体" w:hAnsi="宋体" w:cs="宋体"/>
          <w:b/>
          <w:kern w:val="2"/>
          <w:sz w:val="28"/>
          <w:szCs w:val="28"/>
        </w:rPr>
      </w:pPr>
      <w:r>
        <w:rPr>
          <w:rFonts w:hint="eastAsia" w:ascii="宋体" w:hAnsi="宋体" w:cs="宋体"/>
          <w:b/>
          <w:kern w:val="2"/>
          <w:sz w:val="28"/>
          <w:szCs w:val="28"/>
        </w:rPr>
        <w:t>一、开标</w:t>
      </w:r>
    </w:p>
    <w:p>
      <w:pPr>
        <w:tabs>
          <w:tab w:val="left" w:pos="3585"/>
        </w:tabs>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见面开标模式：投标人在指定地点参加开标会。</w:t>
      </w:r>
    </w:p>
    <w:p>
      <w:pPr>
        <w:pStyle w:val="212"/>
        <w:snapToGrid w:val="0"/>
        <w:spacing w:before="0" w:after="0" w:line="460" w:lineRule="exact"/>
        <w:ind w:left="0" w:right="0" w:firstLine="562" w:firstLineChars="200"/>
        <w:jc w:val="left"/>
        <w:rPr>
          <w:rFonts w:ascii="宋体" w:hAnsi="宋体" w:cs="宋体"/>
          <w:b/>
          <w:kern w:val="2"/>
          <w:sz w:val="28"/>
          <w:szCs w:val="28"/>
        </w:rPr>
      </w:pPr>
      <w:r>
        <w:rPr>
          <w:rFonts w:hint="eastAsia" w:ascii="宋体" w:hAnsi="宋体" w:cs="宋体"/>
          <w:b/>
          <w:kern w:val="2"/>
          <w:sz w:val="28"/>
          <w:szCs w:val="28"/>
        </w:rPr>
        <w:t>二、评标流程和评标标准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采用综合评分法。分资格审查、商务技术响应文件、价格文件、三部分评审，总分值为100分，加分和减分因素除外。</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响应文件评审结束后，进行价格文件的开启、评审。投标人商务、技术部分和价格部分的合计分值，为该投标人的评标总得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评委在认真审阅投标文件的基础上，根据各投标文件的响应程度独立评判，不得统一打分。</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（一）招标人（代表）对投标人资格进行审查。</w:t>
      </w:r>
    </w:p>
    <w:p>
      <w:pPr>
        <w:pStyle w:val="126"/>
        <w:adjustRightInd w:val="0"/>
        <w:snapToGrid w:val="0"/>
        <w:spacing w:line="460" w:lineRule="exact"/>
        <w:ind w:firstLine="560" w:firstLineChars="200"/>
        <w:rPr>
          <w:rFonts w:ascii="宋体" w:eastAsia="宋体" w:cs="宋体"/>
        </w:rPr>
      </w:pPr>
      <w:r>
        <w:rPr>
          <w:rFonts w:hint="eastAsia" w:ascii="宋体" w:eastAsia="宋体" w:cs="宋体"/>
        </w:rPr>
        <w:t>投标人资格不合格的，其投标文件判定为无效投标文件。</w:t>
      </w:r>
    </w:p>
    <w:p>
      <w:pPr>
        <w:adjustRightInd w:val="0"/>
        <w:snapToGrid w:val="0"/>
        <w:spacing w:line="460" w:lineRule="exact"/>
        <w:ind w:firstLine="562" w:firstLineChars="200"/>
        <w:jc w:val="left"/>
        <w:rPr>
          <w:rFonts w:ascii="宋体" w:hAnsi="宋体" w:cs="宋体"/>
          <w:b/>
          <w:sz w:val="28"/>
          <w:szCs w:val="28"/>
        </w:rPr>
      </w:pPr>
      <w:r>
        <w:rPr>
          <w:rFonts w:hint="eastAsia" w:ascii="宋体" w:hAnsi="宋体" w:cs="宋体"/>
          <w:b/>
          <w:sz w:val="28"/>
          <w:szCs w:val="28"/>
        </w:rPr>
        <w:t>（二）评标委员会对符合资格投标人的投标文件进行符合性审查。</w:t>
      </w:r>
    </w:p>
    <w:p>
      <w:pPr>
        <w:pStyle w:val="126"/>
        <w:adjustRightInd w:val="0"/>
        <w:snapToGrid w:val="0"/>
        <w:spacing w:line="460" w:lineRule="exact"/>
        <w:ind w:firstLine="560" w:firstLineChars="200"/>
        <w:rPr>
          <w:rFonts w:ascii="宋体" w:eastAsia="宋体" w:cs="宋体"/>
        </w:rPr>
      </w:pPr>
      <w:r>
        <w:rPr>
          <w:rFonts w:hint="eastAsia" w:ascii="宋体" w:eastAsia="宋体" w:cs="宋体"/>
        </w:rPr>
        <w:t xml:space="preserve">未通过符合性审查的投标文件，将被判为不满足招标文件实质性要求。 </w:t>
      </w:r>
    </w:p>
    <w:p>
      <w:pPr>
        <w:adjustRightInd w:val="0"/>
        <w:snapToGrid w:val="0"/>
        <w:spacing w:line="460" w:lineRule="exact"/>
        <w:ind w:firstLine="562" w:firstLineChars="200"/>
        <w:jc w:val="left"/>
        <w:rPr>
          <w:rFonts w:ascii="宋体" w:hAnsi="宋体" w:cs="宋体"/>
          <w:kern w:val="0"/>
          <w:sz w:val="24"/>
          <w:lang w:bidi="ar"/>
        </w:rPr>
      </w:pPr>
      <w:r>
        <w:rPr>
          <w:rFonts w:hint="eastAsia" w:ascii="宋体" w:hAnsi="宋体" w:cs="宋体"/>
          <w:b/>
          <w:sz w:val="28"/>
          <w:szCs w:val="28"/>
        </w:rPr>
        <w:t>（</w:t>
      </w:r>
      <w:r>
        <w:rPr>
          <w:rFonts w:hint="eastAsia" w:ascii="宋体" w:hAnsi="宋体" w:cs="宋体"/>
          <w:b/>
          <w:sz w:val="28"/>
          <w:szCs w:val="28"/>
          <w:lang w:val="zh-CN"/>
        </w:rPr>
        <w:t>三</w:t>
      </w:r>
      <w:r>
        <w:rPr>
          <w:rFonts w:hint="eastAsia" w:ascii="宋体" w:hAnsi="宋体" w:cs="宋体"/>
          <w:b/>
          <w:sz w:val="28"/>
          <w:szCs w:val="28"/>
        </w:rPr>
        <w:t>）</w:t>
      </w:r>
      <w:r>
        <w:rPr>
          <w:rFonts w:hint="eastAsia" w:ascii="宋体" w:hAnsi="宋体" w:cs="宋体"/>
          <w:b/>
          <w:sz w:val="28"/>
          <w:szCs w:val="28"/>
          <w:lang w:val="zh-CN"/>
        </w:rPr>
        <w:t>商务技术分</w:t>
      </w:r>
      <w:r>
        <w:rPr>
          <w:rFonts w:hint="eastAsia" w:ascii="宋体" w:hAnsi="宋体" w:cs="宋体"/>
          <w:kern w:val="0"/>
          <w:sz w:val="24"/>
          <w:lang w:bidi="ar"/>
        </w:rPr>
        <w:t>：70分</w:t>
      </w:r>
    </w:p>
    <w:p>
      <w:pPr>
        <w:autoSpaceDE w:val="0"/>
        <w:autoSpaceDN w:val="0"/>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各投标人得分为评委会成员评分的算术平均分，分值保留小数点后两位。</w:t>
      </w:r>
    </w:p>
    <w:tbl>
      <w:tblPr>
        <w:tblStyle w:val="54"/>
        <w:tblW w:w="8551" w:type="dxa"/>
        <w:tblInd w:w="93" w:type="dxa"/>
        <w:tblLayout w:type="fixed"/>
        <w:tblCellMar>
          <w:top w:w="0" w:type="dxa"/>
          <w:left w:w="108" w:type="dxa"/>
          <w:bottom w:w="0" w:type="dxa"/>
          <w:right w:w="108" w:type="dxa"/>
        </w:tblCellMar>
      </w:tblPr>
      <w:tblGrid>
        <w:gridCol w:w="888"/>
        <w:gridCol w:w="1242"/>
        <w:gridCol w:w="780"/>
        <w:gridCol w:w="5641"/>
      </w:tblGrid>
      <w:tr>
        <w:tblPrEx>
          <w:tblCellMar>
            <w:top w:w="0" w:type="dxa"/>
            <w:left w:w="108" w:type="dxa"/>
            <w:bottom w:w="0" w:type="dxa"/>
            <w:right w:w="108" w:type="dxa"/>
          </w:tblCellMar>
        </w:tblPrEx>
        <w:trPr>
          <w:trHeight w:val="3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bookmarkStart w:id="107" w:name="_Toc182849073"/>
            <w:r>
              <w:rPr>
                <w:rFonts w:hint="eastAsia" w:ascii="仿宋" w:hAnsi="仿宋" w:eastAsia="仿宋" w:cs="仿宋"/>
                <w:color w:val="000000"/>
                <w:kern w:val="0"/>
                <w:sz w:val="24"/>
                <w:szCs w:val="24"/>
                <w:lang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评分点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5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评审标准</w:t>
            </w:r>
          </w:p>
        </w:tc>
      </w:tr>
      <w:tr>
        <w:tblPrEx>
          <w:tblCellMar>
            <w:top w:w="0" w:type="dxa"/>
            <w:left w:w="108" w:type="dxa"/>
            <w:bottom w:w="0" w:type="dxa"/>
            <w:right w:w="108" w:type="dxa"/>
          </w:tblCellMar>
        </w:tblPrEx>
        <w:trPr>
          <w:trHeight w:val="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1</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技术能力</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评委对投标参数进行评定，响应产品全部满足投标文件的功能、性能和技术指标要求，得满分35分；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1.技术要求中标注“▲”参数为重要参数，重要参数每有一项负偏离则产品性能分扣5分；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2.未标注“▲”参数为非重要参数，非重要参数每有一项负偏离扣2分；扣完为止。</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注：“▲”（需提供软件功能截图）的参数，未提供则判定为负偏离，扣除对应分值</w:t>
            </w:r>
          </w:p>
        </w:tc>
      </w:tr>
      <w:tr>
        <w:tblPrEx>
          <w:tblCellMar>
            <w:top w:w="0" w:type="dxa"/>
            <w:left w:w="108" w:type="dxa"/>
            <w:bottom w:w="0" w:type="dxa"/>
            <w:right w:w="108" w:type="dxa"/>
          </w:tblCellMar>
        </w:tblPrEx>
        <w:trPr>
          <w:trHeight w:val="1793"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1.根据产品的性能稳定性、质量可靠性、与用户采购需求的匹配度等方面进行综合评审。（3分）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系统产品稳定可靠，完全匹配用户需求，得3分；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系统产品较稳定可靠，基本匹配用户需求，得2分；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系统产品稳定可靠性一般，用户需求匹配度较低，得1分；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未提供不得分。</w:t>
            </w:r>
          </w:p>
        </w:tc>
      </w:tr>
      <w:tr>
        <w:tblPrEx>
          <w:tblCellMar>
            <w:top w:w="0" w:type="dxa"/>
            <w:left w:w="108" w:type="dxa"/>
            <w:bottom w:w="0" w:type="dxa"/>
            <w:right w:w="108" w:type="dxa"/>
          </w:tblCellMar>
        </w:tblPrEx>
        <w:trPr>
          <w:trHeight w:val="18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样品演示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投标人根据要求携带样品:胸、腹部检查智能模拟训练系统 教师主控机</w:t>
            </w:r>
          </w:p>
          <w:p>
            <w:pPr>
              <w:widowControl/>
              <w:numPr>
                <w:ilvl w:val="0"/>
                <w:numId w:val="3"/>
              </w:numPr>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评审现场提供投标样品进行演示，评委根据演示内容进行评分，演示时间不超过5分钟；</w:t>
            </w:r>
          </w:p>
          <w:p>
            <w:pPr>
              <w:widowControl/>
              <w:numPr>
                <w:ilvl w:val="0"/>
                <w:numId w:val="3"/>
              </w:numPr>
              <w:jc w:val="left"/>
              <w:textAlignment w:val="center"/>
              <w:rPr>
                <w:rFonts w:ascii="仿宋" w:hAnsi="仿宋" w:eastAsia="仿宋" w:cs="仿宋"/>
                <w:color w:val="000000"/>
                <w:sz w:val="24"/>
                <w:szCs w:val="24"/>
              </w:rPr>
            </w:pPr>
            <w:r>
              <w:rPr>
                <w:rFonts w:hint="eastAsia" w:ascii="仿宋" w:hAnsi="仿宋" w:eastAsia="仿宋" w:cs="仿宋"/>
                <w:kern w:val="0"/>
                <w:sz w:val="24"/>
                <w:szCs w:val="24"/>
                <w:lang w:bidi="ar"/>
              </w:rPr>
              <w:t>技术要求中标注“</w:t>
            </w:r>
            <w:r>
              <w:rPr>
                <w:rFonts w:hint="eastAsia" w:ascii="仿宋" w:hAnsi="仿宋" w:eastAsia="仿宋" w:cs="仿宋"/>
                <w:kern w:val="0"/>
                <w:sz w:val="22"/>
                <w:szCs w:val="22"/>
                <w:lang w:bidi="ar"/>
              </w:rPr>
              <w:t>●</w:t>
            </w:r>
            <w:r>
              <w:rPr>
                <w:rFonts w:hint="eastAsia" w:ascii="仿宋" w:hAnsi="仿宋" w:eastAsia="仿宋" w:cs="仿宋"/>
                <w:kern w:val="0"/>
                <w:sz w:val="24"/>
                <w:szCs w:val="24"/>
                <w:lang w:bidi="ar"/>
              </w:rPr>
              <w:t xml:space="preserve">”参数为样品演示参数 </w:t>
            </w:r>
            <w:r>
              <w:rPr>
                <w:rFonts w:hint="eastAsia" w:ascii="仿宋" w:hAnsi="仿宋" w:eastAsia="仿宋" w:cs="仿宋"/>
                <w:color w:val="0000FF"/>
                <w:kern w:val="0"/>
                <w:sz w:val="24"/>
                <w:szCs w:val="24"/>
                <w:lang w:bidi="ar"/>
              </w:rPr>
              <w:t>。</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投标人逐条有一项负偏离或不响应的扣3分/项，扣完为止。（未携带样品进行演示的，本项不得分）。</w:t>
            </w:r>
          </w:p>
        </w:tc>
      </w:tr>
      <w:tr>
        <w:tblPrEx>
          <w:tblCellMar>
            <w:top w:w="0" w:type="dxa"/>
            <w:left w:w="108" w:type="dxa"/>
            <w:bottom w:w="0" w:type="dxa"/>
            <w:right w:w="108" w:type="dxa"/>
          </w:tblCellMar>
        </w:tblPrEx>
        <w:trPr>
          <w:trHeight w:val="7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业绩</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投标单位所投同类产品近三年(2021年1月1日-截止投标之日)的销售业绩。每提供一份有效合同复印件1分，最高得3分。</w:t>
            </w:r>
          </w:p>
        </w:tc>
      </w:tr>
      <w:tr>
        <w:tblPrEx>
          <w:tblCellMar>
            <w:top w:w="0" w:type="dxa"/>
            <w:left w:w="108" w:type="dxa"/>
            <w:bottom w:w="0" w:type="dxa"/>
            <w:right w:w="108" w:type="dxa"/>
          </w:tblCellMar>
        </w:tblPrEx>
        <w:trPr>
          <w:trHeight w:val="216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4</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售后服务：根据投标人提供的售后服务体系、售后服务人员、售后服务承诺、售后服务应答及处理时间，质保期内的售后服务范围、质保期满后的售后服务范围进行打分。</w:t>
            </w:r>
          </w:p>
          <w:p>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方案详细，可操作性强得4分；</w:t>
            </w:r>
          </w:p>
          <w:p>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方案较详细，可操作性较强得2分；</w:t>
            </w:r>
          </w:p>
          <w:p>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方案粗略，可操作性一般得1分；</w:t>
            </w:r>
          </w:p>
          <w:p>
            <w:pPr>
              <w:widowControl/>
              <w:jc w:val="left"/>
              <w:textAlignment w:val="center"/>
              <w:rPr>
                <w:rFonts w:ascii="仿宋" w:hAnsi="仿宋" w:eastAsia="仿宋" w:cs="仿宋"/>
                <w:color w:val="000000"/>
                <w:sz w:val="24"/>
                <w:szCs w:val="24"/>
              </w:rPr>
            </w:pPr>
            <w:r>
              <w:rPr>
                <w:rFonts w:hint="eastAsia" w:ascii="仿宋" w:hAnsi="仿宋" w:eastAsia="仿宋" w:cs="仿宋"/>
                <w:kern w:val="0"/>
                <w:sz w:val="24"/>
                <w:szCs w:val="24"/>
                <w:lang w:bidi="ar"/>
              </w:rPr>
              <w:t>未提供不得分。</w:t>
            </w:r>
          </w:p>
        </w:tc>
      </w:tr>
      <w:tr>
        <w:tblPrEx>
          <w:tblCellMar>
            <w:top w:w="0" w:type="dxa"/>
            <w:left w:w="108" w:type="dxa"/>
            <w:bottom w:w="0" w:type="dxa"/>
            <w:right w:w="108" w:type="dxa"/>
          </w:tblCellMar>
        </w:tblPrEx>
        <w:trPr>
          <w:trHeight w:val="16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培训服务：对买方操作、维护人员的培训方案及培训计划等方面综合评分。</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方案详细，可操作性强得4分；</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方案较详细，可操作性较强得2分；</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方案粗略，可操作性一般得1分；</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未提供不得分。</w:t>
            </w:r>
          </w:p>
        </w:tc>
      </w:tr>
    </w:tbl>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注：以上所提供材料必须真实可靠，伪造证书证件、伪造合同、伪造检测报告等一切弄虚作假行为，一经发现和查实（含在本项目合同履行期间被查实），采购方有权终止合同，并追究供应商经济和法律责任，同时上报有关部门列入诚信黑名单。</w:t>
      </w:r>
    </w:p>
    <w:p>
      <w:pPr>
        <w:autoSpaceDE w:val="0"/>
        <w:autoSpaceDN w:val="0"/>
        <w:adjustRightInd w:val="0"/>
        <w:snapToGrid w:val="0"/>
        <w:spacing w:line="460" w:lineRule="exact"/>
        <w:ind w:firstLine="562" w:firstLineChars="200"/>
        <w:rPr>
          <w:rFonts w:ascii="宋体" w:hAnsi="宋体" w:cs="宋体"/>
          <w:sz w:val="28"/>
          <w:szCs w:val="28"/>
        </w:rPr>
      </w:pPr>
      <w:r>
        <w:rPr>
          <w:rFonts w:hint="eastAsia" w:ascii="宋体" w:hAnsi="宋体" w:cs="宋体"/>
          <w:b/>
          <w:sz w:val="28"/>
          <w:szCs w:val="28"/>
        </w:rPr>
        <w:t>（四）</w:t>
      </w:r>
      <w:r>
        <w:rPr>
          <w:rFonts w:hint="eastAsia" w:ascii="宋体" w:hAnsi="宋体" w:cs="宋体"/>
          <w:b/>
          <w:sz w:val="28"/>
          <w:szCs w:val="28"/>
          <w:lang w:val="zh-CN"/>
        </w:rPr>
        <w:t>价格分</w:t>
      </w:r>
      <w:r>
        <w:rPr>
          <w:rFonts w:hint="eastAsia" w:ascii="宋体" w:hAnsi="宋体" w:cs="宋体"/>
          <w:b/>
          <w:sz w:val="28"/>
          <w:szCs w:val="28"/>
        </w:rPr>
        <w:t>：</w:t>
      </w:r>
      <w:r>
        <w:rPr>
          <w:rFonts w:hint="eastAsia" w:ascii="宋体" w:hAnsi="宋体" w:cs="宋体"/>
          <w:kern w:val="0"/>
          <w:sz w:val="28"/>
          <w:szCs w:val="28"/>
          <w:lang w:bidi="ar"/>
        </w:rPr>
        <w:t>30分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投标报价得分=（评标基准价/投标报价）×价格权值×100</w:t>
      </w:r>
    </w:p>
    <w:p>
      <w:pPr>
        <w:adjustRightInd w:val="0"/>
        <w:snapToGrid w:val="0"/>
        <w:spacing w:line="460" w:lineRule="exact"/>
        <w:ind w:firstLine="562" w:firstLineChars="200"/>
        <w:rPr>
          <w:rFonts w:ascii="宋体" w:hAnsi="宋体" w:cs="宋体"/>
          <w:bCs/>
          <w:sz w:val="28"/>
          <w:szCs w:val="28"/>
        </w:rPr>
      </w:pPr>
      <w:r>
        <w:rPr>
          <w:rFonts w:hint="eastAsia" w:ascii="宋体" w:hAnsi="宋体" w:cs="宋体"/>
          <w:b/>
          <w:sz w:val="28"/>
          <w:szCs w:val="28"/>
        </w:rPr>
        <w:t>（五）中标人的确定</w:t>
      </w:r>
    </w:p>
    <w:p>
      <w:pPr>
        <w:adjustRightInd w:val="0"/>
        <w:snapToGrid w:val="0"/>
        <w:spacing w:line="460" w:lineRule="exact"/>
        <w:ind w:firstLine="570"/>
        <w:rPr>
          <w:rFonts w:ascii="宋体" w:hAnsi="宋体" w:cs="宋体"/>
          <w:bCs/>
          <w:sz w:val="28"/>
          <w:szCs w:val="28"/>
        </w:rPr>
      </w:pPr>
      <w:r>
        <w:rPr>
          <w:rFonts w:hint="eastAsia" w:ascii="宋体" w:hAnsi="宋体" w:cs="宋体"/>
          <w:bCs/>
          <w:sz w:val="28"/>
          <w:szCs w:val="28"/>
        </w:rPr>
        <w:t>采用综合评分法的，评审结果按评审后得分由高到低顺序排列。得分相同的，按投标报价由低到高顺序排列。得分且投标报价相同的并列。采取随机抽取的方式确定。</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（六）招标人代表宣布评标结果。</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（七）</w:t>
      </w:r>
      <w:r>
        <w:rPr>
          <w:rFonts w:hint="eastAsia" w:ascii="宋体" w:hAnsi="宋体" w:cs="宋体"/>
          <w:b/>
          <w:sz w:val="28"/>
          <w:szCs w:val="28"/>
          <w:lang w:eastAsia="zh-CN"/>
        </w:rPr>
        <w:t>通告</w:t>
      </w:r>
      <w:r>
        <w:rPr>
          <w:rFonts w:hint="eastAsia" w:ascii="宋体" w:hAnsi="宋体" w:cs="宋体"/>
          <w:b/>
          <w:sz w:val="28"/>
          <w:szCs w:val="28"/>
        </w:rPr>
        <w:t>中标结果</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自确定中标人之日起2个工作日内，在学校网站或南通市卫生健康委员会网站</w:t>
      </w:r>
      <w:r>
        <w:rPr>
          <w:rFonts w:hint="eastAsia" w:ascii="宋体" w:hAnsi="宋体" w:cs="宋体"/>
          <w:sz w:val="28"/>
          <w:szCs w:val="28"/>
          <w:lang w:eastAsia="zh-CN"/>
        </w:rPr>
        <w:t>通告</w:t>
      </w:r>
      <w:r>
        <w:rPr>
          <w:rFonts w:hint="eastAsia" w:ascii="宋体" w:hAnsi="宋体" w:cs="宋体"/>
          <w:sz w:val="28"/>
          <w:szCs w:val="28"/>
        </w:rPr>
        <w:t>中标结果，</w:t>
      </w:r>
      <w:r>
        <w:rPr>
          <w:rFonts w:hint="eastAsia" w:ascii="宋体" w:hAnsi="宋体" w:cs="宋体"/>
          <w:sz w:val="28"/>
          <w:szCs w:val="28"/>
          <w:lang w:eastAsia="zh-CN"/>
        </w:rPr>
        <w:t>通告</w:t>
      </w:r>
      <w:r>
        <w:rPr>
          <w:rFonts w:hint="eastAsia" w:ascii="宋体" w:hAnsi="宋体" w:cs="宋体"/>
          <w:sz w:val="28"/>
          <w:szCs w:val="28"/>
        </w:rPr>
        <w:t>期限为1个工作日。</w:t>
      </w:r>
    </w:p>
    <w:p>
      <w:pPr>
        <w:adjustRightInd w:val="0"/>
        <w:snapToGrid w:val="0"/>
        <w:spacing w:line="460" w:lineRule="exact"/>
        <w:ind w:firstLine="562" w:firstLineChars="200"/>
        <w:rPr>
          <w:rFonts w:ascii="宋体" w:hAnsi="宋体" w:cs="宋体"/>
          <w:b/>
          <w:bCs/>
          <w:sz w:val="28"/>
          <w:szCs w:val="28"/>
        </w:rPr>
      </w:pPr>
      <w:r>
        <w:rPr>
          <w:rFonts w:hint="eastAsia" w:ascii="宋体" w:hAnsi="宋体" w:cs="宋体"/>
          <w:b/>
          <w:sz w:val="28"/>
          <w:szCs w:val="28"/>
        </w:rPr>
        <w:t>（</w:t>
      </w:r>
      <w:r>
        <w:rPr>
          <w:rFonts w:hint="eastAsia" w:ascii="宋体" w:hAnsi="宋体" w:cs="宋体"/>
          <w:b/>
          <w:bCs/>
          <w:sz w:val="28"/>
          <w:szCs w:val="28"/>
        </w:rPr>
        <w:t>八</w:t>
      </w:r>
      <w:r>
        <w:rPr>
          <w:rFonts w:hint="eastAsia" w:ascii="宋体" w:hAnsi="宋体" w:cs="宋体"/>
          <w:b/>
          <w:sz w:val="28"/>
          <w:szCs w:val="28"/>
        </w:rPr>
        <w:t>）</w:t>
      </w:r>
      <w:r>
        <w:rPr>
          <w:rFonts w:hint="eastAsia" w:ascii="宋体" w:hAnsi="宋体" w:cs="宋体"/>
          <w:b/>
          <w:bCs/>
          <w:sz w:val="28"/>
          <w:szCs w:val="28"/>
        </w:rPr>
        <w:t>发放中标通知书</w:t>
      </w:r>
    </w:p>
    <w:p>
      <w:pPr>
        <w:adjustRightInd w:val="0"/>
        <w:snapToGrid w:val="0"/>
        <w:spacing w:line="460" w:lineRule="exact"/>
        <w:ind w:firstLine="560" w:firstLineChars="200"/>
        <w:rPr>
          <w:rFonts w:ascii="宋体" w:hAnsi="宋体" w:cs="宋体"/>
          <w:bCs/>
          <w:sz w:val="28"/>
          <w:szCs w:val="28"/>
        </w:rPr>
      </w:pPr>
      <w:r>
        <w:rPr>
          <w:rFonts w:hint="eastAsia" w:ascii="宋体" w:hAnsi="宋体" w:cs="宋体"/>
          <w:sz w:val="28"/>
          <w:szCs w:val="28"/>
          <w:lang w:eastAsia="zh-CN"/>
        </w:rPr>
        <w:t>通告</w:t>
      </w:r>
      <w:r>
        <w:rPr>
          <w:rFonts w:hint="eastAsia" w:ascii="宋体" w:hAnsi="宋体" w:cs="宋体"/>
          <w:sz w:val="28"/>
          <w:szCs w:val="28"/>
        </w:rPr>
        <w:t>中标结果的同时，招标人</w:t>
      </w:r>
      <w:r>
        <w:rPr>
          <w:rFonts w:hint="eastAsia" w:ascii="宋体" w:hAnsi="宋体" w:cs="宋体"/>
          <w:bCs/>
          <w:sz w:val="28"/>
          <w:szCs w:val="28"/>
        </w:rPr>
        <w:t>向中标供应商发放中标通知书。</w:t>
      </w:r>
    </w:p>
    <w:p>
      <w:pPr>
        <w:adjustRightInd w:val="0"/>
        <w:snapToGrid w:val="0"/>
        <w:spacing w:line="460" w:lineRule="exact"/>
        <w:ind w:firstLine="560" w:firstLineChars="200"/>
        <w:rPr>
          <w:rFonts w:ascii="宋体" w:hAnsi="宋体" w:cs="宋体"/>
          <w:b/>
          <w:sz w:val="28"/>
          <w:szCs w:val="28"/>
        </w:rPr>
      </w:pPr>
      <w:r>
        <w:rPr>
          <w:rFonts w:hint="eastAsia" w:ascii="宋体" w:hAnsi="宋体" w:cs="宋体"/>
          <w:sz w:val="28"/>
          <w:szCs w:val="28"/>
        </w:rPr>
        <w:t>中标通知书发出后，招标人不得违法改变中标结果，中标供应商无正当理由不得放弃中标。</w:t>
      </w:r>
    </w:p>
    <w:p>
      <w:pPr>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（九）其他</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当成交供应商无正当理由放弃中标，被查实存在影响成交结果的违法行为等情形，招标人有权按照政府采购相关法律法规的规定对其采取惩戒措施，包含但不限于列入采购失信人黑名单等措施。</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当成交供应商放弃成交、因不可抗力不能履行合同，或者被查实存在影响成交结果的违法行为等情形，不符合成交条件的，招标人可以按照评标委员会提出的成交候选人名单排序依次确定其他成交候选人为中标人，也可以重新采购。</w:t>
      </w:r>
    </w:p>
    <w:p>
      <w:pPr>
        <w:adjustRightInd w:val="0"/>
        <w:snapToGrid w:val="0"/>
        <w:spacing w:line="480" w:lineRule="exact"/>
        <w:jc w:val="center"/>
        <w:textAlignment w:val="baseline"/>
        <w:outlineLvl w:val="0"/>
        <w:rPr>
          <w:rFonts w:ascii="宋体" w:hAnsi="宋体" w:cs="宋体"/>
          <w:b/>
          <w:sz w:val="36"/>
          <w:szCs w:val="36"/>
        </w:rPr>
      </w:pPr>
    </w:p>
    <w:p>
      <w:pPr>
        <w:adjustRightInd w:val="0"/>
        <w:snapToGrid w:val="0"/>
        <w:spacing w:line="480" w:lineRule="exact"/>
        <w:jc w:val="center"/>
        <w:textAlignment w:val="baseline"/>
        <w:outlineLvl w:val="0"/>
        <w:rPr>
          <w:rFonts w:ascii="宋体" w:hAnsi="宋体" w:cs="宋体"/>
          <w:b/>
          <w:sz w:val="36"/>
          <w:szCs w:val="36"/>
        </w:rPr>
      </w:pPr>
    </w:p>
    <w:p>
      <w:pPr>
        <w:adjustRightInd w:val="0"/>
        <w:snapToGrid w:val="0"/>
        <w:spacing w:line="480" w:lineRule="exact"/>
        <w:jc w:val="center"/>
        <w:textAlignment w:val="baseline"/>
        <w:outlineLvl w:val="0"/>
        <w:rPr>
          <w:rFonts w:ascii="宋体" w:hAnsi="宋体" w:cs="宋体"/>
          <w:b/>
          <w:sz w:val="36"/>
          <w:szCs w:val="36"/>
        </w:rPr>
      </w:pPr>
    </w:p>
    <w:p>
      <w:pPr>
        <w:adjustRightInd w:val="0"/>
        <w:snapToGrid w:val="0"/>
        <w:spacing w:line="480" w:lineRule="exact"/>
        <w:jc w:val="center"/>
        <w:textAlignment w:val="baseline"/>
        <w:outlineLvl w:val="0"/>
        <w:rPr>
          <w:rFonts w:ascii="宋体" w:hAnsi="宋体" w:cs="宋体"/>
          <w:b/>
          <w:sz w:val="36"/>
          <w:szCs w:val="36"/>
        </w:rPr>
      </w:pPr>
    </w:p>
    <w:p>
      <w:pPr>
        <w:adjustRightInd w:val="0"/>
        <w:snapToGrid w:val="0"/>
        <w:spacing w:line="480" w:lineRule="exact"/>
        <w:jc w:val="center"/>
        <w:textAlignment w:val="baseline"/>
        <w:outlineLvl w:val="0"/>
        <w:rPr>
          <w:rFonts w:ascii="宋体" w:hAnsi="宋体" w:cs="宋体"/>
          <w:b/>
          <w:sz w:val="36"/>
          <w:szCs w:val="36"/>
        </w:rPr>
      </w:pPr>
    </w:p>
    <w:p>
      <w:pPr>
        <w:adjustRightInd w:val="0"/>
        <w:snapToGrid w:val="0"/>
        <w:spacing w:line="480" w:lineRule="exact"/>
        <w:textAlignment w:val="baseline"/>
        <w:outlineLvl w:val="0"/>
        <w:rPr>
          <w:rFonts w:ascii="宋体" w:hAnsi="宋体" w:cs="宋体"/>
          <w:b/>
          <w:sz w:val="36"/>
          <w:szCs w:val="36"/>
        </w:rPr>
      </w:pPr>
    </w:p>
    <w:p>
      <w:pPr>
        <w:pStyle w:val="152"/>
        <w:spacing w:before="312" w:after="312" w:line="400" w:lineRule="exact"/>
        <w:rPr>
          <w:rFonts w:ascii="宋体" w:eastAsia="宋体" w:cs="宋体"/>
          <w:sz w:val="36"/>
          <w:szCs w:val="36"/>
        </w:rPr>
      </w:pPr>
      <w:r>
        <w:rPr>
          <w:rFonts w:hint="eastAsia" w:ascii="宋体" w:eastAsia="宋体" w:cs="宋体"/>
          <w:sz w:val="36"/>
          <w:szCs w:val="36"/>
        </w:rPr>
        <w:t xml:space="preserve">第五部分 </w:t>
      </w:r>
      <w:bookmarkEnd w:id="107"/>
      <w:r>
        <w:rPr>
          <w:rFonts w:hint="eastAsia" w:ascii="宋体" w:eastAsia="宋体" w:cs="宋体"/>
          <w:sz w:val="36"/>
          <w:szCs w:val="36"/>
        </w:rPr>
        <w:t>投标文件组成</w:t>
      </w:r>
    </w:p>
    <w:p>
      <w:pPr>
        <w:adjustRightInd w:val="0"/>
        <w:snapToGrid w:val="0"/>
        <w:spacing w:line="460" w:lineRule="exact"/>
        <w:ind w:firstLine="555"/>
        <w:jc w:val="left"/>
        <w:rPr>
          <w:rFonts w:ascii="宋体" w:hAnsi="宋体" w:cs="宋体"/>
          <w:b/>
          <w:sz w:val="28"/>
          <w:szCs w:val="28"/>
        </w:rPr>
      </w:pPr>
      <w:r>
        <w:rPr>
          <w:rFonts w:hint="eastAsia" w:ascii="宋体" w:hAnsi="宋体" w:cs="宋体"/>
          <w:b/>
          <w:sz w:val="28"/>
          <w:szCs w:val="28"/>
        </w:rPr>
        <w:t>投标文件由资格审查证明材料、商务技术响应文件、价格文件、电子响应文件四部分组成。</w:t>
      </w:r>
      <w:r>
        <w:rPr>
          <w:rFonts w:hint="eastAsia" w:ascii="宋体" w:hAnsi="宋体" w:cs="宋体"/>
          <w:b/>
          <w:bCs/>
          <w:kern w:val="0"/>
          <w:sz w:val="28"/>
          <w:szCs w:val="28"/>
          <w:lang w:val="zh-CN"/>
        </w:rPr>
        <w:t>请投标人根据本招标文件的要求</w:t>
      </w:r>
      <w:r>
        <w:rPr>
          <w:rFonts w:hint="eastAsia" w:ascii="宋体" w:hAnsi="宋体" w:cs="宋体"/>
          <w:b/>
          <w:bCs/>
          <w:kern w:val="0"/>
          <w:sz w:val="28"/>
          <w:szCs w:val="28"/>
        </w:rPr>
        <w:t>提供</w:t>
      </w:r>
      <w:r>
        <w:rPr>
          <w:rFonts w:hint="eastAsia" w:ascii="宋体" w:hAnsi="宋体" w:cs="宋体"/>
          <w:b/>
          <w:bCs/>
          <w:kern w:val="0"/>
          <w:sz w:val="28"/>
          <w:szCs w:val="28"/>
          <w:lang w:val="zh-CN"/>
        </w:rPr>
        <w:t>投标材料。</w:t>
      </w:r>
    </w:p>
    <w:p>
      <w:pPr>
        <w:adjustRightInd w:val="0"/>
        <w:snapToGrid w:val="0"/>
        <w:spacing w:line="460" w:lineRule="exact"/>
        <w:ind w:firstLine="562" w:firstLineChars="200"/>
        <w:rPr>
          <w:rFonts w:ascii="宋体" w:hAnsi="宋体" w:cs="宋体"/>
          <w:b/>
          <w:bCs/>
          <w:kern w:val="0"/>
          <w:sz w:val="28"/>
          <w:szCs w:val="28"/>
          <w:lang w:val="zh-CN"/>
        </w:rPr>
      </w:pPr>
      <w:r>
        <w:rPr>
          <w:rFonts w:hint="eastAsia" w:ascii="宋体" w:hAnsi="宋体" w:cs="宋体"/>
          <w:b/>
          <w:bCs/>
          <w:kern w:val="0"/>
          <w:sz w:val="28"/>
          <w:szCs w:val="28"/>
          <w:lang w:val="zh-CN"/>
        </w:rPr>
        <w:t>一、资格审查证明材料（不能出现商务技术响应文件、价格文件）</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符合投标人资格要求的承诺函（格式见附件1）</w:t>
      </w:r>
      <w:r>
        <w:rPr>
          <w:rFonts w:hint="eastAsia" w:ascii="宋体" w:hAnsi="宋体" w:cs="宋体"/>
          <w:kern w:val="0"/>
          <w:sz w:val="28"/>
          <w:szCs w:val="28"/>
          <w:lang w:val="zh-CN"/>
        </w:rPr>
        <w:t>；</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2.法定代表人身份证明书（格式见附件2）；</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3.法定代表人授权委托书原件，投标代表本人身份证复印件（格式见附件3）；</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lang w:val="zh-CN"/>
        </w:rPr>
        <w:t>4.</w:t>
      </w:r>
      <w:r>
        <w:rPr>
          <w:rFonts w:hint="eastAsia" w:ascii="宋体" w:hAnsi="宋体" w:cs="宋体"/>
          <w:kern w:val="0"/>
          <w:sz w:val="28"/>
          <w:szCs w:val="28"/>
        </w:rPr>
        <w:t>有效的营业执照副本复印件；</w:t>
      </w:r>
    </w:p>
    <w:p>
      <w:pPr>
        <w:adjustRightInd w:val="0"/>
        <w:snapToGrid w:val="0"/>
        <w:spacing w:line="460" w:lineRule="exact"/>
        <w:ind w:firstLine="562" w:firstLineChars="200"/>
        <w:rPr>
          <w:rFonts w:ascii="宋体" w:hAnsi="宋体" w:cs="宋体"/>
          <w:b/>
          <w:bCs/>
          <w:kern w:val="0"/>
          <w:sz w:val="28"/>
          <w:szCs w:val="28"/>
          <w:lang w:val="zh-CN"/>
        </w:rPr>
      </w:pPr>
      <w:r>
        <w:rPr>
          <w:rFonts w:hint="eastAsia" w:ascii="宋体" w:hAnsi="宋体" w:cs="宋体"/>
          <w:b/>
          <w:bCs/>
          <w:kern w:val="0"/>
          <w:sz w:val="28"/>
          <w:szCs w:val="28"/>
          <w:lang w:val="zh-CN"/>
        </w:rPr>
        <w:t>二、商务技术响应文件（不能出现价格</w:t>
      </w:r>
      <w:r>
        <w:rPr>
          <w:rFonts w:hint="eastAsia" w:ascii="宋体" w:hAnsi="宋体" w:cs="宋体"/>
          <w:b/>
          <w:bCs/>
          <w:kern w:val="0"/>
          <w:sz w:val="28"/>
          <w:szCs w:val="28"/>
        </w:rPr>
        <w:t>文件</w:t>
      </w:r>
      <w:r>
        <w:rPr>
          <w:rFonts w:hint="eastAsia" w:ascii="宋体" w:hAnsi="宋体" w:cs="宋体"/>
          <w:b/>
          <w:bCs/>
          <w:kern w:val="0"/>
          <w:sz w:val="28"/>
          <w:szCs w:val="28"/>
          <w:lang w:val="zh-CN"/>
        </w:rPr>
        <w:t>）</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.投标人情况一览表；（格式见附件4）</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2.技术部分正负偏离表；（格式见附件</w:t>
      </w:r>
      <w:r>
        <w:rPr>
          <w:rFonts w:hint="eastAsia" w:ascii="宋体" w:hAnsi="宋体" w:cs="宋体"/>
          <w:kern w:val="0"/>
          <w:sz w:val="28"/>
          <w:szCs w:val="28"/>
        </w:rPr>
        <w:t>5</w:t>
      </w:r>
      <w:r>
        <w:rPr>
          <w:rFonts w:hint="eastAsia" w:ascii="宋体" w:hAnsi="宋体" w:cs="宋体"/>
          <w:kern w:val="0"/>
          <w:sz w:val="28"/>
          <w:szCs w:val="28"/>
          <w:lang w:val="zh-CN"/>
        </w:rPr>
        <w:t>）</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为方便评委评审，请供应商按评审办法中所涉及的事项顺序进行编制，可以补充相关材料；</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.评审办法中未涉及的事项，供应商认为需要提交的其他资料。</w:t>
      </w:r>
    </w:p>
    <w:p>
      <w:pPr>
        <w:adjustRightInd w:val="0"/>
        <w:snapToGrid w:val="0"/>
        <w:spacing w:line="460" w:lineRule="exact"/>
        <w:ind w:firstLine="562" w:firstLineChars="200"/>
        <w:rPr>
          <w:rFonts w:ascii="宋体" w:hAnsi="宋体" w:cs="宋体"/>
          <w:b/>
          <w:bCs/>
          <w:kern w:val="0"/>
          <w:sz w:val="28"/>
          <w:szCs w:val="28"/>
          <w:lang w:val="zh-CN"/>
        </w:rPr>
      </w:pPr>
      <w:r>
        <w:rPr>
          <w:rFonts w:hint="eastAsia" w:ascii="宋体" w:hAnsi="宋体" w:cs="宋体"/>
          <w:b/>
          <w:bCs/>
          <w:kern w:val="0"/>
          <w:sz w:val="28"/>
          <w:szCs w:val="28"/>
          <w:lang w:val="zh-CN"/>
        </w:rPr>
        <w:t>三、价格文件</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1.开标一览表（格式见附件</w:t>
      </w:r>
      <w:r>
        <w:rPr>
          <w:rFonts w:hint="eastAsia" w:ascii="宋体" w:hAnsi="宋体" w:cs="宋体"/>
          <w:kern w:val="0"/>
          <w:sz w:val="28"/>
          <w:szCs w:val="28"/>
        </w:rPr>
        <w:t>6</w:t>
      </w:r>
      <w:r>
        <w:rPr>
          <w:rFonts w:hint="eastAsia" w:ascii="宋体" w:hAnsi="宋体" w:cs="宋体"/>
          <w:kern w:val="0"/>
          <w:sz w:val="28"/>
          <w:szCs w:val="28"/>
          <w:lang w:val="zh-CN"/>
        </w:rPr>
        <w:t>）；</w:t>
      </w:r>
    </w:p>
    <w:p>
      <w:pPr>
        <w:adjustRightInd w:val="0"/>
        <w:snapToGrid w:val="0"/>
        <w:spacing w:line="460" w:lineRule="exact"/>
        <w:ind w:firstLine="560" w:firstLineChars="200"/>
        <w:rPr>
          <w:rFonts w:ascii="宋体" w:hAnsi="宋体" w:cs="宋体"/>
          <w:kern w:val="0"/>
          <w:sz w:val="28"/>
          <w:szCs w:val="28"/>
        </w:rPr>
      </w:pPr>
      <w:r>
        <w:rPr>
          <w:rFonts w:hint="eastAsia" w:ascii="宋体" w:hAnsi="宋体" w:cs="宋体"/>
          <w:kern w:val="0"/>
          <w:sz w:val="28"/>
          <w:szCs w:val="28"/>
        </w:rPr>
        <w:t>2.分项报价表（格式见附件7）。</w:t>
      </w:r>
    </w:p>
    <w:p>
      <w:pPr>
        <w:adjustRightInd w:val="0"/>
        <w:snapToGrid w:val="0"/>
        <w:spacing w:line="460" w:lineRule="exact"/>
        <w:ind w:firstLine="562" w:firstLineChars="200"/>
        <w:rPr>
          <w:rFonts w:ascii="宋体" w:hAnsi="宋体" w:cs="宋体"/>
          <w:b/>
          <w:kern w:val="0"/>
          <w:sz w:val="28"/>
          <w:szCs w:val="28"/>
        </w:rPr>
      </w:pPr>
      <w:r>
        <w:rPr>
          <w:rFonts w:hint="eastAsia" w:ascii="宋体" w:hAnsi="宋体" w:cs="宋体"/>
          <w:b/>
          <w:kern w:val="0"/>
          <w:sz w:val="28"/>
          <w:szCs w:val="28"/>
        </w:rPr>
        <w:t>四、电子响应文件</w:t>
      </w:r>
    </w:p>
    <w:p>
      <w:pPr>
        <w:adjustRightInd w:val="0"/>
        <w:snapToGrid w:val="0"/>
        <w:spacing w:line="4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电子响应文件的内容为资格审查文件、商务技术响应文件、价格文件打印盖章（或电子签章）后的响应文件的扫描件（资格审查文件、商务</w:t>
      </w:r>
      <w:r>
        <w:rPr>
          <w:rFonts w:hint="eastAsia" w:ascii="宋体" w:hAnsi="宋体" w:cs="宋体"/>
          <w:kern w:val="0"/>
          <w:sz w:val="28"/>
          <w:szCs w:val="28"/>
        </w:rPr>
        <w:t>技术响应文件、</w:t>
      </w:r>
      <w:r>
        <w:rPr>
          <w:rFonts w:hint="eastAsia" w:ascii="宋体" w:hAnsi="宋体" w:cs="宋体"/>
          <w:kern w:val="0"/>
          <w:sz w:val="28"/>
          <w:szCs w:val="28"/>
          <w:lang w:val="zh-CN"/>
        </w:rPr>
        <w:t>技术响应文件、价格文件需分别逐页连续扫描为</w:t>
      </w:r>
      <w:r>
        <w:rPr>
          <w:rFonts w:hint="eastAsia" w:ascii="宋体" w:hAnsi="宋体" w:cs="宋体"/>
          <w:kern w:val="0"/>
          <w:sz w:val="28"/>
          <w:szCs w:val="28"/>
        </w:rPr>
        <w:t>四</w:t>
      </w:r>
      <w:r>
        <w:rPr>
          <w:rFonts w:hint="eastAsia" w:ascii="宋体" w:hAnsi="宋体" w:cs="宋体"/>
          <w:kern w:val="0"/>
          <w:sz w:val="28"/>
          <w:szCs w:val="28"/>
          <w:lang w:val="zh-CN"/>
        </w:rPr>
        <w:t>个独立的PDF文件），可以采取U盘、电子光盘两种方式中任意一种方式提交，需单独密封提交。电子响应文件内容应与提交发纸质响应文件内容一致。否则，由此产生的后果投标人自负。</w:t>
      </w:r>
    </w:p>
    <w:p>
      <w:pPr>
        <w:spacing w:line="360" w:lineRule="auto"/>
        <w:jc w:val="left"/>
        <w:rPr>
          <w:rFonts w:ascii="宋体" w:hAnsi="宋体" w:cs="宋体"/>
          <w:b/>
          <w:bCs/>
          <w:sz w:val="24"/>
          <w:szCs w:val="24"/>
        </w:rPr>
      </w:pPr>
      <w:r>
        <w:rPr>
          <w:rFonts w:hint="eastAsia" w:ascii="宋体" w:hAnsi="宋体" w:cs="宋体"/>
          <w:b/>
          <w:bCs/>
          <w:sz w:val="24"/>
          <w:szCs w:val="24"/>
        </w:rPr>
        <w:t xml:space="preserve"> </w:t>
      </w:r>
    </w:p>
    <w:p>
      <w:pPr>
        <w:snapToGrid w:val="0"/>
        <w:spacing w:line="460" w:lineRule="exact"/>
        <w:contextualSpacing/>
        <w:rPr>
          <w:rFonts w:ascii="仿宋" w:hAnsi="仿宋" w:eastAsia="仿宋" w:cs="仿宋"/>
          <w:kern w:val="0"/>
          <w:sz w:val="32"/>
          <w:szCs w:val="32"/>
          <w:lang w:val="zh-CN"/>
        </w:rPr>
      </w:pPr>
    </w:p>
    <w:p>
      <w:pPr>
        <w:snapToGrid w:val="0"/>
        <w:spacing w:line="460" w:lineRule="exact"/>
        <w:contextualSpacing/>
        <w:rPr>
          <w:rFonts w:ascii="仿宋" w:hAnsi="仿宋" w:eastAsia="仿宋" w:cs="仿宋"/>
          <w:kern w:val="0"/>
          <w:sz w:val="32"/>
          <w:szCs w:val="32"/>
          <w:lang w:val="zh-CN"/>
        </w:rPr>
      </w:pPr>
    </w:p>
    <w:p>
      <w:pPr>
        <w:snapToGrid w:val="0"/>
        <w:spacing w:line="46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pPr>
        <w:spacing w:line="460" w:lineRule="exact"/>
        <w:jc w:val="center"/>
        <w:rPr>
          <w:rFonts w:ascii="宋体" w:hAnsi="宋体" w:cs="宋体"/>
          <w:b/>
          <w:sz w:val="30"/>
          <w:szCs w:val="30"/>
        </w:rPr>
      </w:pPr>
    </w:p>
    <w:p>
      <w:pPr>
        <w:spacing w:line="460" w:lineRule="exact"/>
        <w:jc w:val="center"/>
        <w:rPr>
          <w:rFonts w:ascii="宋体" w:hAnsi="宋体" w:cs="宋体"/>
          <w:b/>
          <w:sz w:val="30"/>
          <w:szCs w:val="30"/>
        </w:rPr>
      </w:pPr>
    </w:p>
    <w:p>
      <w:pPr>
        <w:spacing w:line="460" w:lineRule="exact"/>
        <w:jc w:val="center"/>
        <w:rPr>
          <w:rFonts w:ascii="宋体" w:hAnsi="宋体" w:cs="宋体"/>
          <w:b/>
          <w:sz w:val="30"/>
          <w:szCs w:val="30"/>
        </w:rPr>
      </w:pPr>
      <w:r>
        <w:rPr>
          <w:rFonts w:hint="eastAsia" w:ascii="宋体" w:hAnsi="宋体" w:cs="宋体"/>
          <w:b/>
          <w:sz w:val="30"/>
          <w:szCs w:val="30"/>
        </w:rPr>
        <w:t>符合投标人资格要求的承诺函</w:t>
      </w:r>
    </w:p>
    <w:p>
      <w:pPr>
        <w:spacing w:line="460" w:lineRule="exact"/>
        <w:rPr>
          <w:rFonts w:ascii="宋体" w:hAnsi="宋体" w:cs="宋体"/>
          <w:b/>
          <w:bCs/>
          <w:sz w:val="44"/>
          <w:szCs w:val="44"/>
        </w:rPr>
      </w:pPr>
      <w:r>
        <w:rPr>
          <w:rFonts w:hint="eastAsia" w:ascii="宋体" w:hAnsi="宋体" w:cs="宋体"/>
          <w:b/>
          <w:bCs/>
          <w:sz w:val="24"/>
        </w:rPr>
        <w:t xml:space="preserve">                       </w:t>
      </w:r>
      <w:r>
        <w:rPr>
          <w:rFonts w:hint="eastAsia" w:ascii="宋体" w:hAnsi="宋体" w:cs="宋体"/>
          <w:b/>
          <w:bCs/>
          <w:sz w:val="44"/>
          <w:szCs w:val="44"/>
        </w:rPr>
        <w:t xml:space="preserve">   </w:t>
      </w:r>
    </w:p>
    <w:p>
      <w:pPr>
        <w:spacing w:line="460" w:lineRule="exact"/>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u w:val="single"/>
        </w:rPr>
        <w:t>________________ _</w:t>
      </w:r>
      <w:r>
        <w:rPr>
          <w:rFonts w:hint="eastAsia" w:ascii="宋体" w:hAnsi="宋体" w:cs="宋体"/>
          <w:bCs/>
          <w:sz w:val="24"/>
        </w:rPr>
        <w:t>（项目名称），</w:t>
      </w:r>
      <w:r>
        <w:rPr>
          <w:rFonts w:hint="eastAsia" w:ascii="宋体" w:hAnsi="宋体" w:cs="宋体"/>
          <w:bCs/>
          <w:sz w:val="24"/>
          <w:u w:val="single"/>
        </w:rPr>
        <w:t>_______ __________</w:t>
      </w:r>
      <w:r>
        <w:rPr>
          <w:rFonts w:hint="eastAsia" w:ascii="宋体" w:hAnsi="宋体" w:cs="宋体"/>
          <w:bCs/>
          <w:sz w:val="24"/>
        </w:rPr>
        <w:t>（项目编号）投标活动。现做出如下承诺：</w:t>
      </w:r>
    </w:p>
    <w:p>
      <w:pPr>
        <w:spacing w:line="460" w:lineRule="exact"/>
        <w:ind w:firstLine="480" w:firstLineChars="200"/>
        <w:rPr>
          <w:rFonts w:ascii="宋体" w:hAnsi="宋体" w:cs="宋体"/>
          <w:sz w:val="24"/>
        </w:rPr>
      </w:pPr>
      <w:r>
        <w:rPr>
          <w:rFonts w:hint="eastAsia" w:ascii="宋体" w:hAnsi="宋体" w:cs="宋体"/>
          <w:bCs/>
          <w:sz w:val="24"/>
        </w:rPr>
        <w:t>1.我单位具有独立承担民事责任的能力；</w:t>
      </w:r>
    </w:p>
    <w:p>
      <w:pPr>
        <w:spacing w:line="460" w:lineRule="exact"/>
        <w:ind w:firstLine="480" w:firstLineChars="200"/>
        <w:rPr>
          <w:rFonts w:ascii="宋体" w:hAnsi="宋体" w:cs="宋体"/>
          <w:sz w:val="24"/>
        </w:rPr>
      </w:pPr>
      <w:r>
        <w:rPr>
          <w:rFonts w:hint="eastAsia" w:ascii="宋体" w:hAnsi="宋体" w:cs="宋体"/>
          <w:sz w:val="24"/>
        </w:rPr>
        <w:t>2.我单位具有良好的商业信誉和健全的财务会计制度；</w:t>
      </w:r>
    </w:p>
    <w:p>
      <w:pPr>
        <w:spacing w:line="460" w:lineRule="exact"/>
        <w:ind w:firstLine="480" w:firstLineChars="200"/>
        <w:rPr>
          <w:rFonts w:ascii="宋体" w:hAnsi="宋体" w:cs="宋体"/>
          <w:sz w:val="24"/>
        </w:rPr>
      </w:pPr>
      <w:r>
        <w:rPr>
          <w:rFonts w:hint="eastAsia" w:ascii="宋体" w:hAnsi="宋体" w:cs="宋体"/>
          <w:sz w:val="24"/>
        </w:rPr>
        <w:t>3.我单位具有履行合同所必需的设备和专业技术能力；</w:t>
      </w:r>
    </w:p>
    <w:p>
      <w:pPr>
        <w:spacing w:line="460" w:lineRule="exact"/>
        <w:ind w:firstLine="480" w:firstLineChars="200"/>
        <w:rPr>
          <w:rFonts w:ascii="宋体" w:hAnsi="宋体" w:cs="宋体"/>
          <w:sz w:val="24"/>
        </w:rPr>
      </w:pPr>
      <w:r>
        <w:rPr>
          <w:rFonts w:hint="eastAsia" w:ascii="宋体" w:hAnsi="宋体" w:cs="宋体"/>
          <w:sz w:val="24"/>
        </w:rPr>
        <w:t>4.我单位有依法缴纳税收和社会保障资金的良好记录；</w:t>
      </w:r>
    </w:p>
    <w:p>
      <w:pPr>
        <w:spacing w:line="460" w:lineRule="exact"/>
        <w:ind w:firstLine="480" w:firstLineChars="200"/>
        <w:rPr>
          <w:rFonts w:ascii="宋体" w:hAnsi="宋体" w:cs="宋体"/>
          <w:sz w:val="24"/>
        </w:rPr>
      </w:pPr>
      <w:r>
        <w:rPr>
          <w:rFonts w:hint="eastAsia" w:ascii="宋体" w:hAnsi="宋体" w:cs="宋体"/>
          <w:sz w:val="24"/>
        </w:rPr>
        <w:t>5.我单位参加采购活动前三年内，在经营活动中没有重大违法记录。</w:t>
      </w:r>
    </w:p>
    <w:p>
      <w:pPr>
        <w:spacing w:line="460" w:lineRule="exact"/>
        <w:ind w:firstLine="480" w:firstLineChars="200"/>
        <w:rPr>
          <w:rFonts w:ascii="宋体" w:hAnsi="宋体" w:cs="宋体"/>
          <w:sz w:val="24"/>
        </w:rPr>
      </w:pPr>
      <w:r>
        <w:rPr>
          <w:rFonts w:hint="eastAsia" w:ascii="宋体" w:hAnsi="宋体" w:cs="宋体"/>
          <w:sz w:val="24"/>
        </w:rPr>
        <w:t>6.我单位满足法律、行政法规规定的其他条件。</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bCs/>
          <w:sz w:val="24"/>
        </w:rPr>
      </w:pPr>
    </w:p>
    <w:p>
      <w:pPr>
        <w:spacing w:line="460" w:lineRule="exact"/>
        <w:ind w:firstLine="480" w:firstLineChars="200"/>
        <w:rPr>
          <w:rFonts w:ascii="宋体" w:hAnsi="宋体" w:cs="宋体"/>
          <w:bCs/>
          <w:sz w:val="24"/>
        </w:rPr>
      </w:pPr>
    </w:p>
    <w:p>
      <w:pPr>
        <w:spacing w:line="460" w:lineRule="exact"/>
        <w:ind w:firstLine="480" w:firstLineChars="200"/>
        <w:rPr>
          <w:rFonts w:ascii="宋体" w:hAnsi="宋体" w:cs="宋体"/>
          <w:bCs/>
          <w:sz w:val="24"/>
        </w:rPr>
      </w:pPr>
    </w:p>
    <w:p>
      <w:pPr>
        <w:spacing w:line="460" w:lineRule="exact"/>
        <w:ind w:firstLine="480" w:firstLineChars="200"/>
        <w:jc w:val="center"/>
        <w:rPr>
          <w:rFonts w:ascii="宋体" w:hAnsi="宋体" w:cs="宋体"/>
          <w:bCs/>
          <w:sz w:val="24"/>
        </w:rPr>
      </w:pPr>
      <w:r>
        <w:rPr>
          <w:rFonts w:hint="eastAsia" w:ascii="宋体" w:hAnsi="宋体" w:cs="宋体"/>
          <w:bCs/>
          <w:sz w:val="24"/>
        </w:rPr>
        <w:t xml:space="preserve">                                             承诺人名称（公章）：</w:t>
      </w:r>
    </w:p>
    <w:p>
      <w:pPr>
        <w:spacing w:line="460" w:lineRule="exact"/>
        <w:ind w:firstLine="480" w:firstLineChars="200"/>
        <w:jc w:val="right"/>
        <w:rPr>
          <w:rFonts w:ascii="宋体" w:hAnsi="宋体" w:cs="宋体"/>
          <w:bCs/>
          <w:sz w:val="24"/>
        </w:rPr>
      </w:pPr>
      <w:r>
        <w:rPr>
          <w:rFonts w:hint="eastAsia" w:ascii="宋体" w:hAnsi="宋体" w:cs="宋体"/>
          <w:bCs/>
          <w:sz w:val="24"/>
        </w:rPr>
        <w:t xml:space="preserve">    </w:t>
      </w:r>
    </w:p>
    <w:p>
      <w:pPr>
        <w:spacing w:line="460" w:lineRule="exact"/>
        <w:ind w:firstLine="480" w:firstLineChars="200"/>
        <w:jc w:val="right"/>
        <w:rPr>
          <w:rFonts w:ascii="宋体" w:hAnsi="宋体" w:cs="宋体"/>
          <w:bCs/>
          <w:sz w:val="24"/>
        </w:rPr>
      </w:pPr>
      <w:r>
        <w:rPr>
          <w:rFonts w:hint="eastAsia" w:ascii="宋体" w:hAnsi="宋体" w:cs="宋体"/>
          <w:bCs/>
          <w:sz w:val="24"/>
        </w:rPr>
        <w:t xml:space="preserve">                                 日期：</w:t>
      </w:r>
      <w:r>
        <w:rPr>
          <w:rFonts w:hint="eastAsia" w:ascii="宋体" w:hAnsi="宋体" w:cs="宋体"/>
          <w:bCs/>
          <w:sz w:val="24"/>
          <w:u w:val="single"/>
        </w:rPr>
        <w:t>______</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460" w:lineRule="exact"/>
        <w:jc w:val="right"/>
        <w:rPr>
          <w:rFonts w:ascii="宋体" w:hAnsi="宋体" w:cs="宋体"/>
          <w:bCs/>
          <w:sz w:val="24"/>
        </w:rPr>
      </w:pPr>
    </w:p>
    <w:p>
      <w:pPr>
        <w:rPr>
          <w:rFonts w:ascii="宋体" w:hAnsi="宋体" w:cs="宋体"/>
        </w:rPr>
      </w:pPr>
    </w:p>
    <w:p>
      <w:pPr>
        <w:snapToGrid w:val="0"/>
        <w:spacing w:line="400" w:lineRule="exact"/>
        <w:contextualSpacing/>
        <w:rPr>
          <w:rFonts w:ascii="宋体" w:hAnsi="宋体" w:cs="宋体"/>
          <w:b/>
          <w:kern w:val="0"/>
          <w:sz w:val="28"/>
          <w:szCs w:val="28"/>
          <w:lang w:val="zh-CN"/>
        </w:rPr>
      </w:pPr>
    </w:p>
    <w:p>
      <w:pPr>
        <w:snapToGrid w:val="0"/>
        <w:spacing w:line="400" w:lineRule="exact"/>
        <w:contextualSpacing/>
        <w:rPr>
          <w:rFonts w:ascii="宋体" w:hAnsi="宋体" w:cs="宋体"/>
          <w:b/>
          <w:kern w:val="0"/>
          <w:sz w:val="28"/>
          <w:szCs w:val="28"/>
          <w:lang w:val="zh-CN"/>
        </w:rPr>
      </w:pPr>
    </w:p>
    <w:p>
      <w:pPr>
        <w:snapToGrid w:val="0"/>
        <w:spacing w:line="460" w:lineRule="exact"/>
        <w:contextualSpacing/>
        <w:rPr>
          <w:rFonts w:ascii="宋体" w:hAnsi="宋体" w:cs="宋体"/>
          <w:kern w:val="0"/>
          <w:sz w:val="32"/>
          <w:szCs w:val="32"/>
          <w:lang w:val="zh-CN"/>
        </w:rPr>
      </w:pPr>
      <w:r>
        <w:rPr>
          <w:rFonts w:hint="eastAsia" w:ascii="宋体" w:hAnsi="宋体" w:cs="宋体"/>
          <w:kern w:val="0"/>
          <w:sz w:val="32"/>
          <w:szCs w:val="32"/>
          <w:lang w:val="zh-CN"/>
        </w:rPr>
        <w:br w:type="page"/>
      </w:r>
      <w:r>
        <w:rPr>
          <w:rFonts w:hint="eastAsia" w:ascii="宋体" w:hAnsi="宋体" w:cs="宋体"/>
          <w:kern w:val="0"/>
          <w:sz w:val="32"/>
          <w:szCs w:val="32"/>
          <w:lang w:val="zh-CN"/>
        </w:rPr>
        <w:t>附件2</w:t>
      </w:r>
    </w:p>
    <w:p>
      <w:pPr>
        <w:spacing w:line="460" w:lineRule="exact"/>
        <w:jc w:val="center"/>
        <w:rPr>
          <w:rFonts w:ascii="宋体" w:hAnsi="宋体" w:cs="宋体"/>
          <w:b/>
          <w:bCs/>
          <w:sz w:val="32"/>
          <w:szCs w:val="32"/>
        </w:rPr>
      </w:pPr>
    </w:p>
    <w:p>
      <w:pPr>
        <w:spacing w:line="460" w:lineRule="exact"/>
        <w:jc w:val="center"/>
        <w:rPr>
          <w:rFonts w:ascii="宋体" w:hAnsi="宋体" w:cs="宋体"/>
          <w:b/>
          <w:bCs/>
          <w:sz w:val="32"/>
          <w:szCs w:val="32"/>
        </w:rPr>
      </w:pPr>
    </w:p>
    <w:p>
      <w:pPr>
        <w:spacing w:line="460" w:lineRule="exact"/>
        <w:jc w:val="center"/>
        <w:rPr>
          <w:rFonts w:ascii="宋体" w:hAnsi="宋体" w:cs="宋体"/>
          <w:b/>
          <w:bCs/>
          <w:sz w:val="32"/>
          <w:szCs w:val="32"/>
        </w:rPr>
      </w:pPr>
    </w:p>
    <w:p>
      <w:pPr>
        <w:spacing w:line="460" w:lineRule="exact"/>
        <w:jc w:val="center"/>
        <w:rPr>
          <w:rFonts w:ascii="宋体" w:hAnsi="宋体" w:cs="宋体"/>
          <w:b/>
          <w:bCs/>
          <w:sz w:val="32"/>
          <w:szCs w:val="32"/>
        </w:rPr>
      </w:pPr>
      <w:r>
        <w:rPr>
          <w:rFonts w:hint="eastAsia" w:ascii="宋体" w:hAnsi="宋体" w:cs="宋体"/>
          <w:b/>
          <w:bCs/>
          <w:sz w:val="32"/>
          <w:szCs w:val="32"/>
        </w:rPr>
        <w:t>法定代表人身份证明</w:t>
      </w:r>
    </w:p>
    <w:p>
      <w:pPr>
        <w:spacing w:line="460" w:lineRule="exact"/>
        <w:rPr>
          <w:rFonts w:ascii="宋体" w:hAnsi="宋体" w:cs="宋体"/>
          <w:sz w:val="24"/>
        </w:rPr>
      </w:pPr>
    </w:p>
    <w:p>
      <w:pPr>
        <w:spacing w:line="460" w:lineRule="exact"/>
        <w:ind w:firstLine="480"/>
        <w:rPr>
          <w:rFonts w:ascii="宋体" w:hAnsi="宋体" w:cs="宋体"/>
          <w:sz w:val="24"/>
          <w:u w:val="single"/>
        </w:rPr>
      </w:pPr>
      <w:r>
        <w:rPr>
          <w:rFonts w:hint="eastAsia" w:ascii="宋体" w:hAnsi="宋体" w:cs="宋体"/>
          <w:sz w:val="24"/>
          <w:u w:val="single"/>
        </w:rPr>
        <w:t>致：_______________公司</w:t>
      </w:r>
    </w:p>
    <w:p>
      <w:pPr>
        <w:spacing w:line="460" w:lineRule="exact"/>
        <w:ind w:firstLine="480"/>
        <w:rPr>
          <w:rFonts w:ascii="宋体" w:hAnsi="宋体" w:cs="宋体"/>
          <w:sz w:val="24"/>
          <w:u w:val="single"/>
        </w:rPr>
      </w:pPr>
    </w:p>
    <w:p>
      <w:pPr>
        <w:spacing w:line="460" w:lineRule="exact"/>
        <w:ind w:firstLine="480"/>
        <w:rPr>
          <w:rFonts w:ascii="宋体" w:hAnsi="宋体" w:cs="宋体"/>
          <w:sz w:val="24"/>
          <w:u w:val="single"/>
        </w:rPr>
      </w:pPr>
      <w:r>
        <w:rPr>
          <w:rFonts w:hint="eastAsia" w:ascii="宋体" w:hAnsi="宋体" w:cs="宋体"/>
          <w:sz w:val="24"/>
          <w:u w:val="single"/>
        </w:rPr>
        <w:t>兹有，____________同志，性别：_____，民族________,身份证号码____________________，在我单位担任_________职务，系我单位的法定代表人/负责人。</w:t>
      </w:r>
    </w:p>
    <w:p>
      <w:pPr>
        <w:spacing w:line="460" w:lineRule="exact"/>
        <w:ind w:firstLine="480"/>
        <w:rPr>
          <w:rFonts w:ascii="宋体" w:hAnsi="宋体" w:cs="宋体"/>
          <w:sz w:val="24"/>
          <w:u w:val="single"/>
        </w:rPr>
      </w:pPr>
      <w:r>
        <w:rPr>
          <w:rFonts w:hint="eastAsia" w:ascii="宋体" w:hAnsi="宋体" w:cs="宋体"/>
          <w:sz w:val="24"/>
          <w:u w:val="single"/>
        </w:rPr>
        <w:t>特此证明。</w:t>
      </w:r>
    </w:p>
    <w:p>
      <w:pPr>
        <w:spacing w:line="460" w:lineRule="exact"/>
        <w:ind w:firstLine="480"/>
        <w:rPr>
          <w:rFonts w:ascii="宋体" w:hAnsi="宋体" w:cs="宋体"/>
          <w:sz w:val="24"/>
          <w:u w:val="single"/>
        </w:rPr>
      </w:pPr>
      <w:r>
        <w:rPr>
          <w:rFonts w:hint="eastAsia" w:ascii="宋体" w:hAnsi="宋体" w:cs="宋体"/>
          <w:sz w:val="24"/>
          <w:u w:val="single"/>
        </w:rPr>
        <w:t>附：法定代表人/负责人身份证（正反面）复印件</w:t>
      </w:r>
    </w:p>
    <w:p>
      <w:pPr>
        <w:spacing w:line="480" w:lineRule="exact"/>
        <w:ind w:firstLine="480" w:firstLineChars="200"/>
        <w:rPr>
          <w:rFonts w:ascii="宋体" w:hAnsi="宋体" w:cs="宋体"/>
          <w:sz w:val="24"/>
        </w:rPr>
      </w:pPr>
    </w:p>
    <w:p>
      <w:pPr>
        <w:rPr>
          <w:rFonts w:ascii="宋体" w:hAnsi="宋体" w:cs="宋体"/>
        </w:rPr>
      </w:pPr>
      <w:r>
        <w:rPr>
          <w:rFonts w:hint="eastAsia" w:ascii="宋体" w:hAnsi="宋体" w:cs="宋体"/>
        </w:rPr>
        <w:t xml:space="preserve">     </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pacing w:line="460" w:lineRule="exact"/>
        <w:ind w:firstLine="3422" w:firstLineChars="1426"/>
        <w:rPr>
          <w:rFonts w:ascii="宋体" w:hAnsi="宋体" w:cs="宋体"/>
          <w:sz w:val="24"/>
        </w:rPr>
      </w:pPr>
      <w:r>
        <w:rPr>
          <w:rFonts w:hint="eastAsia" w:ascii="宋体" w:hAnsi="宋体" w:cs="宋体"/>
          <w:sz w:val="24"/>
        </w:rPr>
        <w:t>投标人（盖单位公章）：____________________</w:t>
      </w:r>
    </w:p>
    <w:p>
      <w:pPr>
        <w:spacing w:line="460" w:lineRule="exact"/>
        <w:ind w:firstLine="3422" w:firstLineChars="1426"/>
        <w:rPr>
          <w:rFonts w:ascii="宋体" w:hAnsi="宋体" w:cs="宋体"/>
          <w:bCs/>
          <w:sz w:val="24"/>
        </w:rPr>
      </w:pPr>
      <w:r>
        <w:rPr>
          <w:rFonts w:hint="eastAsia" w:ascii="宋体" w:hAnsi="宋体" w:cs="宋体"/>
          <w:bCs/>
          <w:sz w:val="24"/>
        </w:rPr>
        <w:t xml:space="preserve">    </w:t>
      </w:r>
    </w:p>
    <w:p>
      <w:pPr>
        <w:snapToGrid w:val="0"/>
        <w:spacing w:line="460" w:lineRule="exact"/>
        <w:ind w:firstLine="460" w:firstLineChars="192"/>
        <w:contextualSpacing/>
        <w:rPr>
          <w:rFonts w:ascii="宋体" w:hAnsi="宋体" w:cs="宋体"/>
          <w:b/>
          <w:kern w:val="0"/>
          <w:sz w:val="28"/>
          <w:szCs w:val="28"/>
          <w:lang w:val="zh-CN"/>
        </w:rPr>
      </w:pPr>
      <w:r>
        <w:rPr>
          <w:rFonts w:hint="eastAsia" w:ascii="宋体" w:hAnsi="宋体" w:cs="宋体"/>
          <w:bCs/>
          <w:sz w:val="24"/>
        </w:rPr>
        <w:t xml:space="preserve">                                 日期：</w:t>
      </w:r>
      <w:r>
        <w:rPr>
          <w:rFonts w:hint="eastAsia" w:ascii="宋体" w:hAnsi="宋体" w:cs="宋体"/>
          <w:bCs/>
          <w:sz w:val="24"/>
          <w:u w:val="single"/>
        </w:rPr>
        <w:t>______</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460" w:lineRule="exact"/>
        <w:ind w:firstLine="480" w:firstLineChars="200"/>
        <w:rPr>
          <w:rFonts w:ascii="宋体" w:hAnsi="宋体" w:cs="宋体"/>
          <w:sz w:val="24"/>
        </w:rPr>
      </w:pPr>
    </w:p>
    <w:p>
      <w:pPr>
        <w:spacing w:line="460" w:lineRule="exact"/>
        <w:rPr>
          <w:rFonts w:ascii="宋体" w:hAnsi="宋体" w:cs="宋体"/>
        </w:rPr>
      </w:pPr>
    </w:p>
    <w:p>
      <w:pPr>
        <w:snapToGrid w:val="0"/>
        <w:spacing w:line="460" w:lineRule="exact"/>
        <w:ind w:firstLine="540" w:firstLineChars="192"/>
        <w:contextualSpacing/>
        <w:rPr>
          <w:rFonts w:ascii="宋体" w:hAnsi="宋体" w:cs="宋体"/>
          <w:b/>
          <w:kern w:val="0"/>
          <w:sz w:val="28"/>
          <w:szCs w:val="28"/>
        </w:rPr>
      </w:pPr>
    </w:p>
    <w:p>
      <w:pPr>
        <w:snapToGrid w:val="0"/>
        <w:spacing w:line="460" w:lineRule="exact"/>
        <w:ind w:firstLine="540" w:firstLineChars="192"/>
        <w:contextualSpacing/>
        <w:rPr>
          <w:rFonts w:ascii="宋体" w:hAnsi="宋体" w:cs="宋体"/>
          <w:b/>
          <w:kern w:val="0"/>
          <w:sz w:val="28"/>
          <w:szCs w:val="28"/>
          <w:lang w:val="zh-CN"/>
        </w:rPr>
      </w:pPr>
    </w:p>
    <w:p>
      <w:pPr>
        <w:snapToGrid w:val="0"/>
        <w:spacing w:line="460" w:lineRule="exact"/>
        <w:ind w:firstLine="540" w:firstLineChars="192"/>
        <w:contextualSpacing/>
        <w:rPr>
          <w:rFonts w:ascii="宋体" w:hAnsi="宋体" w:cs="宋体"/>
          <w:b/>
          <w:kern w:val="0"/>
          <w:sz w:val="28"/>
          <w:szCs w:val="28"/>
          <w:lang w:val="zh-CN"/>
        </w:rPr>
      </w:pPr>
    </w:p>
    <w:p>
      <w:pPr>
        <w:snapToGrid w:val="0"/>
        <w:spacing w:line="460" w:lineRule="exact"/>
        <w:ind w:firstLine="540" w:firstLineChars="192"/>
        <w:contextualSpacing/>
        <w:rPr>
          <w:rFonts w:ascii="宋体" w:hAnsi="宋体" w:cs="宋体"/>
          <w:b/>
          <w:kern w:val="0"/>
          <w:sz w:val="28"/>
          <w:szCs w:val="28"/>
          <w:lang w:val="zh-CN"/>
        </w:rPr>
      </w:pPr>
    </w:p>
    <w:p>
      <w:pPr>
        <w:snapToGrid w:val="0"/>
        <w:spacing w:line="460" w:lineRule="exact"/>
        <w:contextualSpacing/>
        <w:rPr>
          <w:rFonts w:ascii="宋体" w:hAnsi="宋体" w:cs="宋体"/>
          <w:kern w:val="0"/>
          <w:sz w:val="32"/>
          <w:szCs w:val="32"/>
          <w:lang w:val="zh-CN"/>
        </w:rPr>
      </w:pPr>
    </w:p>
    <w:p>
      <w:pPr>
        <w:snapToGrid w:val="0"/>
        <w:spacing w:line="460" w:lineRule="exact"/>
        <w:contextualSpacing/>
        <w:rPr>
          <w:rFonts w:ascii="宋体" w:hAnsi="宋体" w:cs="宋体"/>
          <w:kern w:val="0"/>
          <w:sz w:val="32"/>
          <w:szCs w:val="32"/>
          <w:lang w:val="zh-CN"/>
        </w:rPr>
      </w:pPr>
      <w:r>
        <w:rPr>
          <w:rFonts w:hint="eastAsia" w:ascii="宋体" w:hAnsi="宋体" w:cs="宋体"/>
          <w:kern w:val="0"/>
          <w:sz w:val="32"/>
          <w:szCs w:val="32"/>
          <w:lang w:val="zh-CN"/>
        </w:rPr>
        <w:t>附件3</w:t>
      </w:r>
    </w:p>
    <w:p>
      <w:pPr>
        <w:spacing w:line="460" w:lineRule="exact"/>
        <w:jc w:val="center"/>
        <w:rPr>
          <w:rFonts w:ascii="宋体" w:hAnsi="宋体" w:cs="宋体"/>
          <w:sz w:val="32"/>
          <w:szCs w:val="32"/>
        </w:rPr>
      </w:pPr>
    </w:p>
    <w:p>
      <w:pPr>
        <w:spacing w:line="460" w:lineRule="exact"/>
        <w:ind w:firstLine="560" w:firstLineChars="200"/>
        <w:jc w:val="center"/>
        <w:rPr>
          <w:rFonts w:ascii="宋体" w:hAnsi="宋体" w:cs="宋体"/>
          <w:sz w:val="28"/>
          <w:szCs w:val="28"/>
        </w:rPr>
      </w:pPr>
      <w:r>
        <w:rPr>
          <w:rFonts w:hint="eastAsia" w:ascii="宋体" w:hAnsi="宋体" w:cs="宋体"/>
          <w:sz w:val="28"/>
          <w:szCs w:val="28"/>
        </w:rPr>
        <w:t>法定代表人授权委托书</w:t>
      </w: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r>
        <w:rPr>
          <w:rFonts w:hint="eastAsia" w:ascii="宋体" w:hAnsi="宋体" w:cs="宋体"/>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ascii="宋体" w:hAnsi="宋体" w:cs="宋体"/>
          <w:sz w:val="28"/>
          <w:szCs w:val="28"/>
        </w:rPr>
      </w:pPr>
      <w:r>
        <w:rPr>
          <w:rFonts w:hint="eastAsia" w:ascii="宋体" w:hAnsi="宋体" w:cs="宋体"/>
          <w:sz w:val="28"/>
          <w:szCs w:val="28"/>
        </w:rPr>
        <w:t>本授权书于---年---月---日起生效。代理人无转委托权。</w:t>
      </w:r>
    </w:p>
    <w:p>
      <w:pPr>
        <w:spacing w:line="460" w:lineRule="exact"/>
        <w:ind w:firstLine="560" w:firstLineChars="200"/>
        <w:rPr>
          <w:rFonts w:ascii="宋体" w:hAnsi="宋体" w:cs="宋体"/>
          <w:sz w:val="28"/>
          <w:szCs w:val="28"/>
        </w:rPr>
      </w:pPr>
      <w:r>
        <w:rPr>
          <w:rFonts w:hint="eastAsia" w:ascii="宋体" w:hAnsi="宋体" w:cs="宋体"/>
          <w:sz w:val="28"/>
          <w:szCs w:val="28"/>
        </w:rPr>
        <w:t>代理人(被授权人):------</w:t>
      </w:r>
    </w:p>
    <w:p>
      <w:pPr>
        <w:spacing w:line="460" w:lineRule="exact"/>
        <w:ind w:firstLine="560" w:firstLineChars="200"/>
        <w:rPr>
          <w:rFonts w:ascii="宋体" w:hAnsi="宋体" w:cs="宋体"/>
          <w:sz w:val="28"/>
          <w:szCs w:val="28"/>
        </w:rPr>
      </w:pPr>
      <w:r>
        <w:rPr>
          <w:rFonts w:hint="eastAsia" w:ascii="宋体" w:hAnsi="宋体" w:cs="宋体"/>
          <w:sz w:val="28"/>
          <w:szCs w:val="28"/>
        </w:rPr>
        <w:t>授权单位名称（盖章）：-----</w:t>
      </w:r>
    </w:p>
    <w:p>
      <w:pPr>
        <w:spacing w:line="460" w:lineRule="exact"/>
        <w:ind w:firstLine="560" w:firstLineChars="200"/>
        <w:rPr>
          <w:rFonts w:ascii="宋体" w:hAnsi="宋体" w:cs="宋体"/>
          <w:sz w:val="28"/>
          <w:szCs w:val="28"/>
        </w:rPr>
      </w:pPr>
      <w:r>
        <w:rPr>
          <w:rFonts w:hint="eastAsia" w:ascii="宋体" w:hAnsi="宋体" w:cs="宋体"/>
          <w:sz w:val="28"/>
          <w:szCs w:val="28"/>
        </w:rPr>
        <w:t>授权单位法定代表人（签字或盖章）：-----</w:t>
      </w:r>
    </w:p>
    <w:p>
      <w:pPr>
        <w:spacing w:line="460" w:lineRule="exact"/>
        <w:ind w:firstLine="560" w:firstLineChars="200"/>
        <w:jc w:val="right"/>
        <w:rPr>
          <w:rFonts w:ascii="宋体" w:hAnsi="宋体" w:cs="宋体"/>
          <w:sz w:val="28"/>
          <w:szCs w:val="28"/>
        </w:rPr>
      </w:pPr>
    </w:p>
    <w:p>
      <w:pPr>
        <w:spacing w:line="460" w:lineRule="exact"/>
        <w:ind w:firstLine="560" w:firstLineChars="200"/>
        <w:jc w:val="right"/>
        <w:rPr>
          <w:rFonts w:ascii="宋体" w:hAnsi="宋体" w:cs="宋体"/>
          <w:sz w:val="28"/>
          <w:szCs w:val="28"/>
        </w:rPr>
      </w:pPr>
      <w:r>
        <w:rPr>
          <w:rFonts w:hint="eastAsia" w:ascii="宋体" w:hAnsi="宋体" w:cs="宋体"/>
          <w:sz w:val="28"/>
          <w:szCs w:val="28"/>
        </w:rPr>
        <w:t>XXXX年XX月XX日</w:t>
      </w:r>
    </w:p>
    <w:p>
      <w:pPr>
        <w:snapToGrid w:val="0"/>
        <w:spacing w:line="460" w:lineRule="exact"/>
        <w:ind w:firstLine="562" w:firstLineChars="200"/>
        <w:contextualSpacing/>
        <w:rPr>
          <w:rFonts w:ascii="宋体" w:hAnsi="宋体" w:cs="宋体"/>
          <w:b/>
          <w:kern w:val="0"/>
          <w:sz w:val="28"/>
          <w:szCs w:val="28"/>
        </w:rPr>
      </w:pPr>
    </w:p>
    <w:p>
      <w:pPr>
        <w:snapToGrid w:val="0"/>
        <w:spacing w:line="460" w:lineRule="exact"/>
        <w:ind w:firstLine="562" w:firstLineChars="200"/>
        <w:contextualSpacing/>
        <w:rPr>
          <w:rFonts w:ascii="宋体" w:hAnsi="宋体" w:cs="宋体"/>
          <w:b/>
          <w:kern w:val="0"/>
          <w:sz w:val="28"/>
          <w:szCs w:val="28"/>
        </w:rPr>
      </w:pPr>
      <w:r>
        <w:rPr>
          <w:rFonts w:hint="eastAsia" w:ascii="宋体" w:hAnsi="宋体" w:cs="宋体"/>
          <w:b/>
          <w:kern w:val="0"/>
          <w:sz w:val="28"/>
          <w:szCs w:val="28"/>
        </w:rPr>
        <w:t>注：提供投标代表本人身份证复印件盖公章</w:t>
      </w:r>
    </w:p>
    <w:p>
      <w:pPr>
        <w:snapToGrid w:val="0"/>
        <w:spacing w:line="400" w:lineRule="exact"/>
        <w:ind w:firstLine="540" w:firstLineChars="192"/>
        <w:contextualSpacing/>
        <w:rPr>
          <w:rFonts w:ascii="宋体" w:hAnsi="宋体" w:cs="宋体"/>
          <w:b/>
          <w:kern w:val="0"/>
          <w:sz w:val="28"/>
          <w:szCs w:val="28"/>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p>
    <w:p>
      <w:pPr>
        <w:snapToGrid w:val="0"/>
        <w:spacing w:line="300" w:lineRule="auto"/>
        <w:outlineLvl w:val="0"/>
        <w:rPr>
          <w:rFonts w:ascii="宋体" w:hAnsi="宋体" w:cs="宋体"/>
          <w:sz w:val="32"/>
          <w:szCs w:val="32"/>
        </w:rPr>
      </w:pPr>
      <w:r>
        <w:rPr>
          <w:rFonts w:hint="eastAsia" w:ascii="宋体" w:hAnsi="宋体" w:cs="宋体"/>
          <w:sz w:val="32"/>
          <w:szCs w:val="32"/>
        </w:rPr>
        <w:t>附件4</w:t>
      </w:r>
    </w:p>
    <w:p>
      <w:pPr>
        <w:tabs>
          <w:tab w:val="left" w:pos="1260"/>
        </w:tabs>
        <w:snapToGrid w:val="0"/>
        <w:spacing w:line="300" w:lineRule="auto"/>
        <w:contextualSpacing/>
        <w:jc w:val="center"/>
        <w:rPr>
          <w:rFonts w:ascii="宋体" w:hAnsi="宋体" w:cs="宋体"/>
          <w:b/>
          <w:sz w:val="32"/>
          <w:szCs w:val="32"/>
        </w:rPr>
      </w:pPr>
      <w:r>
        <w:rPr>
          <w:rFonts w:hint="eastAsia" w:ascii="宋体" w:hAnsi="宋体" w:cs="宋体"/>
          <w:b/>
          <w:sz w:val="32"/>
          <w:szCs w:val="32"/>
        </w:rPr>
        <w:t>供应商情况一览表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ascii="宋体" w:hAnsi="宋体" w:cs="宋体"/>
                <w:sz w:val="24"/>
              </w:rPr>
            </w:pPr>
            <w:r>
              <w:rPr>
                <w:rFonts w:hint="eastAsia" w:ascii="宋体" w:hAnsi="宋体" w:cs="宋体"/>
                <w:sz w:val="24"/>
              </w:rPr>
              <w:t>单位名称</w:t>
            </w:r>
          </w:p>
        </w:tc>
        <w:tc>
          <w:tcPr>
            <w:tcW w:w="7923" w:type="dxa"/>
            <w:gridSpan w:val="10"/>
            <w:tcBorders>
              <w:top w:val="double" w:color="auto" w:sz="4" w:space="0"/>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ascii="宋体" w:hAnsi="宋体" w:cs="宋体"/>
                <w:sz w:val="24"/>
              </w:rPr>
            </w:pPr>
            <w:r>
              <w:rPr>
                <w:rFonts w:hint="eastAsia" w:ascii="宋体" w:hAnsi="宋体" w:cs="宋体"/>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cs="宋体"/>
                <w:sz w:val="24"/>
              </w:rPr>
            </w:pPr>
            <w:r>
              <w:rPr>
                <w:rFonts w:hint="eastAsia" w:ascii="宋体" w:hAnsi="宋体" w:cs="宋体"/>
                <w:sz w:val="24"/>
              </w:rPr>
              <w:t>单位</w:t>
            </w:r>
          </w:p>
          <w:p>
            <w:pPr>
              <w:tabs>
                <w:tab w:val="left" w:pos="4320"/>
              </w:tabs>
              <w:ind w:left="266" w:hanging="266" w:hangingChars="111"/>
              <w:rPr>
                <w:rFonts w:ascii="宋体" w:hAnsi="宋体" w:cs="宋体"/>
                <w:sz w:val="24"/>
              </w:rPr>
            </w:pPr>
            <w:r>
              <w:rPr>
                <w:rFonts w:hint="eastAsia" w:ascii="宋体" w:hAnsi="宋体" w:cs="宋体"/>
                <w:sz w:val="24"/>
              </w:rPr>
              <w:t>概况</w:t>
            </w: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职工总数</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人</w:t>
            </w:r>
          </w:p>
        </w:tc>
        <w:tc>
          <w:tcPr>
            <w:tcW w:w="567" w:type="dxa"/>
            <w:vMerge w:val="restart"/>
            <w:vAlign w:val="center"/>
          </w:tcPr>
          <w:p>
            <w:pPr>
              <w:tabs>
                <w:tab w:val="left" w:pos="4320"/>
              </w:tabs>
              <w:rPr>
                <w:rFonts w:ascii="宋体" w:hAnsi="宋体" w:cs="宋体"/>
                <w:sz w:val="24"/>
              </w:rPr>
            </w:pPr>
            <w:r>
              <w:rPr>
                <w:rFonts w:hint="eastAsia" w:ascii="宋体" w:hAnsi="宋体" w:cs="宋体"/>
                <w:sz w:val="24"/>
              </w:rPr>
              <w:t>上一年主要经济指标</w:t>
            </w:r>
          </w:p>
        </w:tc>
        <w:tc>
          <w:tcPr>
            <w:tcW w:w="946" w:type="dxa"/>
            <w:vAlign w:val="center"/>
          </w:tcPr>
          <w:p>
            <w:pPr>
              <w:tabs>
                <w:tab w:val="left" w:pos="4320"/>
              </w:tabs>
              <w:jc w:val="center"/>
              <w:rPr>
                <w:rFonts w:ascii="宋体" w:hAnsi="宋体" w:cs="宋体"/>
                <w:sz w:val="24"/>
              </w:rPr>
            </w:pPr>
            <w:r>
              <w:rPr>
                <w:rFonts w:hint="eastAsia" w:ascii="宋体" w:hAnsi="宋体" w:cs="宋体"/>
                <w:sz w:val="24"/>
              </w:rPr>
              <w:t>营业额</w:t>
            </w:r>
          </w:p>
        </w:tc>
        <w:tc>
          <w:tcPr>
            <w:tcW w:w="1414" w:type="dxa"/>
            <w:gridSpan w:val="2"/>
            <w:vAlign w:val="center"/>
          </w:tcPr>
          <w:p>
            <w:pPr>
              <w:tabs>
                <w:tab w:val="left" w:pos="4320"/>
              </w:tabs>
              <w:rPr>
                <w:rFonts w:ascii="宋体" w:hAnsi="宋体" w:cs="宋体"/>
                <w:sz w:val="24"/>
              </w:rPr>
            </w:pPr>
          </w:p>
        </w:tc>
        <w:tc>
          <w:tcPr>
            <w:tcW w:w="1184" w:type="dxa"/>
            <w:gridSpan w:val="2"/>
            <w:vAlign w:val="center"/>
          </w:tcPr>
          <w:p>
            <w:pPr>
              <w:tabs>
                <w:tab w:val="left" w:pos="4320"/>
              </w:tabs>
              <w:jc w:val="center"/>
              <w:rPr>
                <w:rFonts w:ascii="宋体" w:hAnsi="宋体" w:cs="宋体"/>
                <w:sz w:val="24"/>
              </w:rPr>
            </w:pPr>
            <w:r>
              <w:rPr>
                <w:rFonts w:hint="eastAsia" w:ascii="宋体" w:hAnsi="宋体" w:cs="宋体"/>
                <w:sz w:val="24"/>
              </w:rPr>
              <w:t>实现利润</w:t>
            </w:r>
          </w:p>
        </w:tc>
        <w:tc>
          <w:tcPr>
            <w:tcW w:w="1544" w:type="dxa"/>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流动资金</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万元</w:t>
            </w:r>
          </w:p>
        </w:tc>
        <w:tc>
          <w:tcPr>
            <w:tcW w:w="567" w:type="dxa"/>
            <w:vMerge w:val="continue"/>
            <w:vAlign w:val="center"/>
          </w:tcPr>
          <w:p>
            <w:pPr>
              <w:tabs>
                <w:tab w:val="left" w:pos="4320"/>
              </w:tabs>
              <w:rPr>
                <w:rFonts w:ascii="宋体" w:hAnsi="宋体" w:cs="宋体"/>
                <w:sz w:val="24"/>
              </w:rPr>
            </w:pPr>
          </w:p>
        </w:tc>
        <w:tc>
          <w:tcPr>
            <w:tcW w:w="946" w:type="dxa"/>
            <w:vMerge w:val="restart"/>
            <w:vAlign w:val="center"/>
          </w:tcPr>
          <w:p>
            <w:pPr>
              <w:tabs>
                <w:tab w:val="left" w:pos="4320"/>
              </w:tabs>
              <w:jc w:val="center"/>
              <w:rPr>
                <w:rFonts w:ascii="宋体" w:hAnsi="宋体" w:cs="宋体"/>
                <w:sz w:val="24"/>
              </w:rPr>
            </w:pPr>
            <w:r>
              <w:rPr>
                <w:rFonts w:hint="eastAsia" w:ascii="宋体" w:hAnsi="宋体" w:cs="宋体"/>
                <w:sz w:val="24"/>
              </w:rPr>
              <w:t>主要</w:t>
            </w:r>
          </w:p>
          <w:p>
            <w:pPr>
              <w:tabs>
                <w:tab w:val="left" w:pos="4320"/>
              </w:tabs>
              <w:jc w:val="center"/>
              <w:rPr>
                <w:rFonts w:ascii="宋体" w:hAnsi="宋体" w:cs="宋体"/>
                <w:sz w:val="24"/>
              </w:rPr>
            </w:pPr>
            <w:r>
              <w:rPr>
                <w:rFonts w:hint="eastAsia" w:ascii="宋体" w:hAnsi="宋体" w:cs="宋体"/>
                <w:sz w:val="24"/>
              </w:rPr>
              <w:t>产品</w:t>
            </w:r>
          </w:p>
        </w:tc>
        <w:tc>
          <w:tcPr>
            <w:tcW w:w="4142" w:type="dxa"/>
            <w:gridSpan w:val="5"/>
            <w:tcBorders>
              <w:right w:val="double" w:color="auto" w:sz="4" w:space="0"/>
            </w:tcBorders>
            <w:vAlign w:val="center"/>
          </w:tcPr>
          <w:p>
            <w:pPr>
              <w:tabs>
                <w:tab w:val="left" w:pos="4320"/>
              </w:tabs>
              <w:spacing w:before="120" w:after="120"/>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固定资产</w:t>
            </w:r>
          </w:p>
          <w:p>
            <w:pPr>
              <w:tabs>
                <w:tab w:val="left" w:pos="4320"/>
              </w:tabs>
              <w:jc w:val="center"/>
              <w:rPr>
                <w:rFonts w:ascii="宋体" w:hAnsi="宋体" w:cs="宋体"/>
                <w:sz w:val="24"/>
              </w:rPr>
            </w:pPr>
            <w:r>
              <w:rPr>
                <w:rFonts w:hint="eastAsia" w:ascii="宋体" w:hAnsi="宋体" w:cs="宋体"/>
                <w:sz w:val="24"/>
              </w:rPr>
              <w:t>（万元）</w:t>
            </w:r>
          </w:p>
        </w:tc>
        <w:tc>
          <w:tcPr>
            <w:tcW w:w="1417" w:type="dxa"/>
            <w:gridSpan w:val="2"/>
            <w:vAlign w:val="center"/>
          </w:tcPr>
          <w:p>
            <w:pPr>
              <w:tabs>
                <w:tab w:val="left" w:pos="-48"/>
                <w:tab w:val="left" w:pos="4320"/>
              </w:tabs>
              <w:ind w:right="-133" w:hanging="48"/>
              <w:rPr>
                <w:rFonts w:ascii="宋体" w:hAnsi="宋体" w:cs="宋体"/>
                <w:sz w:val="24"/>
              </w:rPr>
            </w:pPr>
            <w:r>
              <w:rPr>
                <w:rFonts w:hint="eastAsia" w:ascii="宋体" w:hAnsi="宋体" w:cs="宋体"/>
                <w:sz w:val="24"/>
              </w:rPr>
              <w:t>原值：</w:t>
            </w:r>
          </w:p>
          <w:p>
            <w:pPr>
              <w:tabs>
                <w:tab w:val="left" w:pos="-48"/>
                <w:tab w:val="left" w:pos="4320"/>
              </w:tabs>
              <w:ind w:hanging="48"/>
              <w:jc w:val="right"/>
              <w:rPr>
                <w:rFonts w:ascii="宋体" w:hAnsi="宋体" w:cs="宋体"/>
                <w:sz w:val="24"/>
              </w:rPr>
            </w:pPr>
          </w:p>
          <w:p>
            <w:pPr>
              <w:tabs>
                <w:tab w:val="left" w:pos="-48"/>
                <w:tab w:val="left" w:pos="4320"/>
              </w:tabs>
              <w:ind w:right="-133" w:hanging="48"/>
              <w:rPr>
                <w:rFonts w:ascii="宋体" w:hAnsi="宋体" w:cs="宋体"/>
                <w:sz w:val="24"/>
              </w:rPr>
            </w:pPr>
            <w:r>
              <w:rPr>
                <w:rFonts w:hint="eastAsia" w:ascii="宋体" w:hAnsi="宋体" w:cs="宋体"/>
                <w:sz w:val="24"/>
              </w:rPr>
              <w:t>净值：</w:t>
            </w:r>
          </w:p>
          <w:p>
            <w:pPr>
              <w:tabs>
                <w:tab w:val="left" w:pos="-48"/>
                <w:tab w:val="left" w:pos="4320"/>
              </w:tabs>
              <w:ind w:hanging="48"/>
              <w:jc w:val="right"/>
              <w:rPr>
                <w:rFonts w:ascii="宋体" w:hAnsi="宋体" w:cs="宋体"/>
                <w:sz w:val="24"/>
              </w:rPr>
            </w:pPr>
          </w:p>
        </w:tc>
        <w:tc>
          <w:tcPr>
            <w:tcW w:w="567" w:type="dxa"/>
            <w:vMerge w:val="continue"/>
            <w:vAlign w:val="center"/>
          </w:tcPr>
          <w:p>
            <w:pPr>
              <w:tabs>
                <w:tab w:val="left" w:pos="4320"/>
              </w:tabs>
              <w:rPr>
                <w:rFonts w:ascii="宋体" w:hAnsi="宋体" w:cs="宋体"/>
                <w:sz w:val="24"/>
              </w:rPr>
            </w:pPr>
          </w:p>
        </w:tc>
        <w:tc>
          <w:tcPr>
            <w:tcW w:w="946" w:type="dxa"/>
            <w:vMerge w:val="continue"/>
            <w:vAlign w:val="center"/>
          </w:tcPr>
          <w:p>
            <w:pPr>
              <w:tabs>
                <w:tab w:val="left" w:pos="4320"/>
              </w:tabs>
              <w:jc w:val="center"/>
              <w:rPr>
                <w:rFonts w:ascii="宋体" w:hAnsi="宋体" w:cs="宋体"/>
                <w:sz w:val="24"/>
              </w:rPr>
            </w:pPr>
          </w:p>
        </w:tc>
        <w:tc>
          <w:tcPr>
            <w:tcW w:w="4142" w:type="dxa"/>
            <w:gridSpan w:val="5"/>
            <w:tcBorders>
              <w:right w:val="double" w:color="auto" w:sz="4" w:space="0"/>
            </w:tcBorders>
            <w:vAlign w:val="center"/>
          </w:tcPr>
          <w:p>
            <w:pPr>
              <w:tabs>
                <w:tab w:val="left" w:pos="4320"/>
              </w:tabs>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占地面积</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vAlign w:val="center"/>
          </w:tcPr>
          <w:p>
            <w:pPr>
              <w:tabs>
                <w:tab w:val="left" w:pos="4320"/>
              </w:tabs>
              <w:rPr>
                <w:rFonts w:ascii="宋体" w:hAnsi="宋体" w:cs="宋体"/>
                <w:sz w:val="24"/>
              </w:rPr>
            </w:pPr>
          </w:p>
        </w:tc>
        <w:tc>
          <w:tcPr>
            <w:tcW w:w="946" w:type="dxa"/>
            <w:vMerge w:val="continue"/>
            <w:vAlign w:val="center"/>
          </w:tcPr>
          <w:p>
            <w:pPr>
              <w:tabs>
                <w:tab w:val="left" w:pos="4320"/>
              </w:tabs>
              <w:jc w:val="center"/>
              <w:rPr>
                <w:rFonts w:ascii="宋体" w:hAnsi="宋体" w:cs="宋体"/>
                <w:sz w:val="24"/>
              </w:rPr>
            </w:pPr>
          </w:p>
        </w:tc>
        <w:tc>
          <w:tcPr>
            <w:tcW w:w="4142" w:type="dxa"/>
            <w:gridSpan w:val="5"/>
            <w:tcBorders>
              <w:right w:val="double" w:color="auto" w:sz="4" w:space="0"/>
            </w:tcBorders>
            <w:vAlign w:val="center"/>
          </w:tcPr>
          <w:p>
            <w:pPr>
              <w:tabs>
                <w:tab w:val="left" w:pos="4320"/>
              </w:tabs>
              <w:spacing w:before="120" w:after="120"/>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cs="宋体"/>
                <w:sz w:val="24"/>
              </w:rPr>
            </w:pPr>
            <w:r>
              <w:rPr>
                <w:rFonts w:hint="eastAsia" w:ascii="宋体" w:hAnsi="宋体" w:cs="宋体"/>
                <w:sz w:val="24"/>
              </w:rPr>
              <w:t>本次</w:t>
            </w:r>
          </w:p>
          <w:p>
            <w:pPr>
              <w:tabs>
                <w:tab w:val="left" w:pos="4320"/>
              </w:tabs>
              <w:ind w:left="266" w:hanging="266" w:hangingChars="111"/>
              <w:rPr>
                <w:rFonts w:ascii="宋体" w:hAnsi="宋体" w:cs="宋体"/>
                <w:sz w:val="24"/>
              </w:rPr>
            </w:pPr>
            <w:r>
              <w:rPr>
                <w:rFonts w:hint="eastAsia" w:ascii="宋体" w:hAnsi="宋体" w:cs="宋体"/>
                <w:sz w:val="24"/>
              </w:rPr>
              <w:t>投标</w:t>
            </w:r>
          </w:p>
          <w:p>
            <w:pPr>
              <w:tabs>
                <w:tab w:val="left" w:pos="4320"/>
              </w:tabs>
              <w:ind w:left="266" w:hanging="266" w:hangingChars="111"/>
              <w:rPr>
                <w:rFonts w:ascii="宋体" w:hAnsi="宋体" w:cs="宋体"/>
                <w:sz w:val="24"/>
              </w:rPr>
            </w:pPr>
            <w:r>
              <w:rPr>
                <w:rFonts w:hint="eastAsia" w:ascii="宋体" w:hAnsi="宋体" w:cs="宋体"/>
                <w:sz w:val="24"/>
              </w:rPr>
              <w:t>产品</w:t>
            </w:r>
          </w:p>
          <w:p>
            <w:pPr>
              <w:tabs>
                <w:tab w:val="left" w:pos="4320"/>
              </w:tabs>
              <w:ind w:left="266" w:hanging="266" w:hangingChars="111"/>
              <w:rPr>
                <w:rFonts w:ascii="宋体" w:hAnsi="宋体" w:cs="宋体"/>
                <w:sz w:val="24"/>
              </w:rPr>
            </w:pPr>
            <w:r>
              <w:rPr>
                <w:rFonts w:hint="eastAsia" w:ascii="宋体" w:hAnsi="宋体" w:cs="宋体"/>
                <w:sz w:val="24"/>
              </w:rPr>
              <w:t>情况</w:t>
            </w:r>
          </w:p>
        </w:tc>
        <w:tc>
          <w:tcPr>
            <w:tcW w:w="1643" w:type="dxa"/>
            <w:gridSpan w:val="3"/>
            <w:vAlign w:val="center"/>
          </w:tcPr>
          <w:p>
            <w:pPr>
              <w:tabs>
                <w:tab w:val="left" w:pos="4320"/>
              </w:tabs>
              <w:spacing w:before="60" w:after="60"/>
              <w:jc w:val="center"/>
              <w:rPr>
                <w:rFonts w:ascii="宋体" w:hAnsi="宋体" w:cs="宋体"/>
                <w:sz w:val="24"/>
              </w:rPr>
            </w:pPr>
            <w:r>
              <w:rPr>
                <w:rFonts w:hint="eastAsia" w:ascii="宋体" w:hAnsi="宋体" w:cs="宋体"/>
                <w:sz w:val="24"/>
              </w:rPr>
              <w:t>本次投标</w:t>
            </w:r>
          </w:p>
          <w:p>
            <w:pPr>
              <w:tabs>
                <w:tab w:val="left" w:pos="4320"/>
              </w:tabs>
              <w:spacing w:before="60" w:after="60"/>
              <w:jc w:val="center"/>
              <w:rPr>
                <w:rFonts w:ascii="宋体" w:hAnsi="宋体" w:cs="宋体"/>
                <w:sz w:val="24"/>
              </w:rPr>
            </w:pPr>
            <w:r>
              <w:rPr>
                <w:rFonts w:hint="eastAsia" w:ascii="宋体" w:hAnsi="宋体" w:cs="宋体"/>
                <w:sz w:val="24"/>
              </w:rPr>
              <w:t>产品名称</w:t>
            </w:r>
          </w:p>
        </w:tc>
        <w:tc>
          <w:tcPr>
            <w:tcW w:w="1617" w:type="dxa"/>
            <w:gridSpan w:val="2"/>
            <w:vAlign w:val="center"/>
          </w:tcPr>
          <w:p>
            <w:pPr>
              <w:tabs>
                <w:tab w:val="left" w:pos="4320"/>
              </w:tabs>
              <w:spacing w:before="60" w:after="60"/>
              <w:jc w:val="center"/>
              <w:rPr>
                <w:rFonts w:ascii="宋体" w:hAnsi="宋体" w:cs="宋体"/>
                <w:sz w:val="24"/>
              </w:rPr>
            </w:pPr>
            <w:r>
              <w:rPr>
                <w:rFonts w:hint="eastAsia" w:ascii="宋体" w:hAnsi="宋体" w:cs="宋体"/>
                <w:sz w:val="24"/>
              </w:rPr>
              <w:t>型    号</w:t>
            </w:r>
          </w:p>
        </w:tc>
        <w:tc>
          <w:tcPr>
            <w:tcW w:w="946" w:type="dxa"/>
            <w:vAlign w:val="center"/>
          </w:tcPr>
          <w:p>
            <w:pPr>
              <w:tabs>
                <w:tab w:val="left" w:pos="4320"/>
              </w:tabs>
              <w:spacing w:before="60" w:after="60"/>
              <w:jc w:val="center"/>
              <w:rPr>
                <w:rFonts w:ascii="宋体" w:hAnsi="宋体" w:cs="宋体"/>
                <w:sz w:val="24"/>
              </w:rPr>
            </w:pPr>
            <w:r>
              <w:rPr>
                <w:rFonts w:hint="eastAsia" w:ascii="宋体" w:hAnsi="宋体" w:cs="宋体"/>
                <w:sz w:val="24"/>
              </w:rPr>
              <w:t>上年</w:t>
            </w:r>
          </w:p>
          <w:p>
            <w:pPr>
              <w:tabs>
                <w:tab w:val="left" w:pos="4320"/>
              </w:tabs>
              <w:spacing w:before="60" w:after="60"/>
              <w:jc w:val="center"/>
              <w:rPr>
                <w:rFonts w:ascii="宋体" w:hAnsi="宋体" w:cs="宋体"/>
                <w:sz w:val="24"/>
              </w:rPr>
            </w:pPr>
            <w:r>
              <w:rPr>
                <w:rFonts w:hint="eastAsia" w:ascii="宋体" w:hAnsi="宋体" w:cs="宋体"/>
                <w:sz w:val="24"/>
              </w:rPr>
              <w:t>产销量</w:t>
            </w:r>
          </w:p>
        </w:tc>
        <w:tc>
          <w:tcPr>
            <w:tcW w:w="1263" w:type="dxa"/>
            <w:vAlign w:val="center"/>
          </w:tcPr>
          <w:p>
            <w:pPr>
              <w:tabs>
                <w:tab w:val="left" w:pos="4320"/>
              </w:tabs>
              <w:spacing w:before="60" w:after="60"/>
              <w:jc w:val="center"/>
              <w:rPr>
                <w:rFonts w:ascii="宋体" w:hAnsi="宋体" w:cs="宋体"/>
                <w:sz w:val="24"/>
              </w:rPr>
            </w:pPr>
            <w:r>
              <w:rPr>
                <w:rFonts w:hint="eastAsia" w:ascii="宋体" w:hAnsi="宋体" w:cs="宋体"/>
                <w:sz w:val="24"/>
              </w:rPr>
              <w:t>产品技术</w:t>
            </w:r>
          </w:p>
          <w:p>
            <w:pPr>
              <w:tabs>
                <w:tab w:val="left" w:pos="4320"/>
              </w:tabs>
              <w:spacing w:before="60" w:after="60"/>
              <w:jc w:val="center"/>
              <w:rPr>
                <w:rFonts w:ascii="宋体" w:hAnsi="宋体" w:cs="宋体"/>
                <w:sz w:val="24"/>
              </w:rPr>
            </w:pPr>
            <w:r>
              <w:rPr>
                <w:rFonts w:hint="eastAsia" w:ascii="宋体" w:hAnsi="宋体" w:cs="宋体"/>
                <w:sz w:val="24"/>
              </w:rPr>
              <w:t>先进水平</w:t>
            </w:r>
          </w:p>
        </w:tc>
        <w:tc>
          <w:tcPr>
            <w:tcW w:w="1273" w:type="dxa"/>
            <w:gridSpan w:val="2"/>
            <w:vAlign w:val="center"/>
          </w:tcPr>
          <w:p>
            <w:pPr>
              <w:tabs>
                <w:tab w:val="left" w:pos="4320"/>
              </w:tabs>
              <w:spacing w:before="60" w:after="60"/>
              <w:jc w:val="center"/>
              <w:rPr>
                <w:rFonts w:ascii="宋体" w:hAnsi="宋体" w:cs="宋体"/>
                <w:sz w:val="24"/>
              </w:rPr>
            </w:pPr>
            <w:r>
              <w:rPr>
                <w:rFonts w:hint="eastAsia" w:ascii="宋体" w:hAnsi="宋体" w:cs="宋体"/>
                <w:sz w:val="24"/>
              </w:rPr>
              <w:t>曾获何级</w:t>
            </w:r>
          </w:p>
          <w:p>
            <w:pPr>
              <w:tabs>
                <w:tab w:val="left" w:pos="4320"/>
              </w:tabs>
              <w:spacing w:before="60" w:after="60"/>
              <w:jc w:val="center"/>
              <w:rPr>
                <w:rFonts w:ascii="宋体" w:hAnsi="宋体" w:cs="宋体"/>
                <w:sz w:val="24"/>
              </w:rPr>
            </w:pPr>
            <w:r>
              <w:rPr>
                <w:rFonts w:hint="eastAsia" w:ascii="宋体" w:hAnsi="宋体" w:cs="宋体"/>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ascii="宋体" w:hAnsi="宋体" w:cs="宋体"/>
                <w:sz w:val="24"/>
              </w:rPr>
            </w:pPr>
            <w:r>
              <w:rPr>
                <w:rFonts w:hint="eastAsia" w:ascii="宋体" w:hAnsi="宋体" w:cs="宋体"/>
                <w:sz w:val="24"/>
              </w:rPr>
              <w:t>主要用户</w:t>
            </w:r>
          </w:p>
          <w:p>
            <w:pPr>
              <w:tabs>
                <w:tab w:val="left" w:pos="4320"/>
              </w:tabs>
              <w:spacing w:before="60" w:after="60"/>
              <w:jc w:val="center"/>
              <w:rPr>
                <w:rFonts w:ascii="宋体" w:hAnsi="宋体" w:cs="宋体"/>
                <w:sz w:val="24"/>
              </w:rPr>
            </w:pPr>
            <w:r>
              <w:rPr>
                <w:rFonts w:hint="eastAsia" w:ascii="宋体" w:hAnsi="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ascii="宋体" w:hAnsi="宋体" w:cs="宋体"/>
                <w:sz w:val="24"/>
              </w:rPr>
            </w:pPr>
            <w:r>
              <w:rPr>
                <w:rFonts w:hint="eastAsia" w:ascii="宋体" w:hAnsi="宋体" w:cs="宋体"/>
                <w:sz w:val="24"/>
              </w:rPr>
              <w:t>其它</w:t>
            </w:r>
          </w:p>
        </w:tc>
        <w:tc>
          <w:tcPr>
            <w:tcW w:w="4206" w:type="dxa"/>
            <w:gridSpan w:val="6"/>
            <w:vAlign w:val="center"/>
          </w:tcPr>
          <w:p>
            <w:pPr>
              <w:tabs>
                <w:tab w:val="left" w:pos="4320"/>
              </w:tabs>
              <w:spacing w:before="60" w:after="60"/>
              <w:rPr>
                <w:rFonts w:ascii="宋体" w:hAnsi="宋体" w:cs="宋体"/>
                <w:sz w:val="24"/>
              </w:rPr>
            </w:pPr>
            <w:r>
              <w:rPr>
                <w:rFonts w:hint="eastAsia" w:ascii="宋体" w:hAnsi="宋体" w:cs="宋体"/>
                <w:sz w:val="24"/>
              </w:rPr>
              <w:t>近3年完成及正在执行的合同中发生的由于供应商违约或部分违约而引起诉讼和受到索赔的案件具体情况及结果（须如实填写，若对此进行隐瞒，尔后又被招标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ascii="宋体" w:hAnsi="宋体" w:cs="宋体"/>
                <w:sz w:val="24"/>
              </w:rPr>
            </w:pPr>
            <w:r>
              <w:rPr>
                <w:rFonts w:hint="eastAsia" w:ascii="宋体" w:hAnsi="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ascii="宋体" w:hAnsi="宋体" w:cs="宋体"/>
                <w:sz w:val="24"/>
              </w:rPr>
            </w:pPr>
          </w:p>
        </w:tc>
        <w:tc>
          <w:tcPr>
            <w:tcW w:w="4206" w:type="dxa"/>
            <w:gridSpan w:val="6"/>
            <w:tcBorders>
              <w:bottom w:val="double" w:color="auto" w:sz="4" w:space="0"/>
            </w:tcBorders>
            <w:vAlign w:val="center"/>
          </w:tcPr>
          <w:p>
            <w:pPr>
              <w:tabs>
                <w:tab w:val="left" w:pos="4320"/>
              </w:tabs>
              <w:rPr>
                <w:rFonts w:ascii="宋体" w:hAnsi="宋体" w:cs="宋体"/>
                <w:sz w:val="24"/>
              </w:rPr>
            </w:pPr>
          </w:p>
        </w:tc>
        <w:tc>
          <w:tcPr>
            <w:tcW w:w="4142" w:type="dxa"/>
            <w:gridSpan w:val="5"/>
            <w:tcBorders>
              <w:bottom w:val="double" w:color="auto" w:sz="4" w:space="0"/>
              <w:right w:val="double" w:color="auto" w:sz="4" w:space="0"/>
            </w:tcBorders>
            <w:vAlign w:val="center"/>
          </w:tcPr>
          <w:p>
            <w:pPr>
              <w:tabs>
                <w:tab w:val="left" w:pos="4320"/>
              </w:tabs>
              <w:rPr>
                <w:rFonts w:ascii="宋体" w:hAnsi="宋体" w:cs="宋体"/>
                <w:sz w:val="24"/>
              </w:rPr>
            </w:pPr>
          </w:p>
        </w:tc>
      </w:tr>
    </w:tbl>
    <w:p>
      <w:pPr>
        <w:snapToGrid w:val="0"/>
        <w:spacing w:line="300" w:lineRule="auto"/>
        <w:contextualSpacing/>
        <w:rPr>
          <w:rFonts w:ascii="宋体" w:hAnsi="宋体" w:cs="宋体"/>
          <w:sz w:val="28"/>
          <w:szCs w:val="28"/>
        </w:rPr>
      </w:pPr>
    </w:p>
    <w:p>
      <w:pPr>
        <w:snapToGrid w:val="0"/>
        <w:spacing w:line="400" w:lineRule="exact"/>
        <w:contextualSpacing/>
        <w:rPr>
          <w:rFonts w:ascii="宋体" w:hAnsi="宋体" w:cs="宋体"/>
          <w:kern w:val="0"/>
          <w:sz w:val="32"/>
          <w:szCs w:val="32"/>
        </w:rPr>
      </w:pPr>
      <w:r>
        <w:rPr>
          <w:rFonts w:hint="eastAsia" w:ascii="宋体" w:hAnsi="宋体" w:cs="宋体"/>
          <w:kern w:val="0"/>
          <w:sz w:val="32"/>
          <w:szCs w:val="32"/>
        </w:rPr>
        <w:t>附件5</w:t>
      </w:r>
    </w:p>
    <w:p>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pPr>
        <w:ind w:firstLine="560" w:firstLineChars="200"/>
        <w:jc w:val="center"/>
        <w:rPr>
          <w:rFonts w:ascii="宋体" w:hAnsi="宋体" w:cs="宋体"/>
          <w:sz w:val="28"/>
          <w:szCs w:val="28"/>
        </w:rPr>
      </w:pPr>
      <w:r>
        <w:rPr>
          <w:rFonts w:hint="eastAsia" w:ascii="宋体" w:hAnsi="宋体" w:cs="宋体"/>
          <w:sz w:val="28"/>
          <w:szCs w:val="28"/>
        </w:rPr>
        <w:t>（由投标人据实填写，表格不够自行添加）</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139"/>
        <w:gridCol w:w="1868"/>
        <w:gridCol w:w="2410"/>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784"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序号</w:t>
            </w:r>
          </w:p>
        </w:tc>
        <w:tc>
          <w:tcPr>
            <w:tcW w:w="21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货物或服务名称</w:t>
            </w:r>
          </w:p>
        </w:tc>
        <w:tc>
          <w:tcPr>
            <w:tcW w:w="1868"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招标文件要求的技术要求</w:t>
            </w:r>
          </w:p>
        </w:tc>
        <w:tc>
          <w:tcPr>
            <w:tcW w:w="241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投标文件响应情况</w:t>
            </w:r>
          </w:p>
        </w:tc>
        <w:tc>
          <w:tcPr>
            <w:tcW w:w="132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sz w:val="24"/>
              </w:rPr>
            </w:pPr>
          </w:p>
          <w:p>
            <w:pPr>
              <w:spacing w:line="340" w:lineRule="exact"/>
              <w:jc w:val="center"/>
              <w:rPr>
                <w:rFonts w:ascii="宋体" w:hAnsi="宋体" w:cs="宋体"/>
                <w:sz w:val="24"/>
              </w:rPr>
            </w:pPr>
            <w:r>
              <w:rPr>
                <w:rFonts w:hint="eastAsia" w:ascii="宋体" w:hAnsi="宋体" w:cs="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1</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2</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4</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bl>
    <w:p>
      <w:pPr>
        <w:snapToGrid w:val="0"/>
        <w:spacing w:line="300" w:lineRule="auto"/>
        <w:contextualSpacing/>
        <w:rPr>
          <w:rFonts w:ascii="宋体" w:hAnsi="宋体" w:cs="宋体"/>
          <w:b/>
          <w:sz w:val="24"/>
        </w:rPr>
      </w:pPr>
      <w:r>
        <w:rPr>
          <w:rFonts w:hint="eastAsia" w:ascii="宋体" w:hAnsi="宋体" w:cs="宋体"/>
          <w:b/>
          <w:sz w:val="24"/>
        </w:rPr>
        <w:t>注：</w:t>
      </w:r>
    </w:p>
    <w:p>
      <w:pPr>
        <w:snapToGrid w:val="0"/>
        <w:spacing w:line="300" w:lineRule="auto"/>
        <w:ind w:firstLine="480" w:firstLineChars="200"/>
        <w:contextualSpacing/>
        <w:rPr>
          <w:rFonts w:ascii="宋体" w:hAnsi="宋体" w:cs="宋体"/>
          <w:sz w:val="24"/>
        </w:rPr>
      </w:pPr>
      <w:r>
        <w:rPr>
          <w:rFonts w:hint="eastAsia" w:ascii="宋体" w:hAnsi="宋体" w:cs="宋体"/>
          <w:sz w:val="24"/>
        </w:rPr>
        <w:t>1.投标人提交的投标文件中与招标文件第三部分“项目需求”中的技术部分的要求，应逐条填列在偏离表中。</w:t>
      </w:r>
    </w:p>
    <w:p>
      <w:pPr>
        <w:snapToGrid w:val="0"/>
        <w:spacing w:line="300" w:lineRule="auto"/>
        <w:ind w:firstLine="480" w:firstLineChars="200"/>
        <w:contextualSpacing/>
        <w:rPr>
          <w:rFonts w:ascii="宋体" w:hAnsi="宋体" w:cs="宋体"/>
          <w:sz w:val="24"/>
        </w:rPr>
      </w:pPr>
      <w:r>
        <w:rPr>
          <w:rFonts w:hint="eastAsia" w:ascii="宋体" w:hAnsi="宋体" w:cs="宋体"/>
          <w:sz w:val="24"/>
        </w:rPr>
        <w:t>2.“偏离说明”一栏选择“正偏离”、“无偏离”、“负偏离”进行填写。正偏离、无偏离的确认和负偏离的是否响应招标文件，由评委认定。</w:t>
      </w:r>
    </w:p>
    <w:p>
      <w:pPr>
        <w:snapToGrid w:val="0"/>
        <w:spacing w:line="300" w:lineRule="auto"/>
        <w:ind w:firstLine="480" w:firstLineChars="200"/>
        <w:contextualSpacing/>
        <w:rPr>
          <w:rFonts w:ascii="宋体" w:hAnsi="宋体" w:cs="宋体"/>
          <w:sz w:val="24"/>
        </w:rPr>
      </w:pPr>
      <w:r>
        <w:rPr>
          <w:rFonts w:hint="eastAsia" w:ascii="宋体" w:hAnsi="宋体" w:cs="宋体"/>
          <w:sz w:val="24"/>
        </w:rPr>
        <w:t>3.投标人如果虚假响应，将被暂停参加招标人组织的采购活动。</w:t>
      </w:r>
    </w:p>
    <w:p>
      <w:pPr>
        <w:snapToGrid w:val="0"/>
        <w:spacing w:line="400" w:lineRule="exact"/>
        <w:ind w:firstLine="480" w:firstLineChars="200"/>
        <w:contextualSpacing/>
        <w:rPr>
          <w:rFonts w:ascii="宋体" w:hAnsi="宋体" w:cs="宋体"/>
          <w:kern w:val="0"/>
          <w:sz w:val="32"/>
          <w:szCs w:val="32"/>
        </w:rPr>
      </w:pPr>
      <w:r>
        <w:rPr>
          <w:rFonts w:hint="eastAsia" w:ascii="宋体" w:hAnsi="宋体" w:cs="宋体"/>
          <w:bCs/>
          <w:sz w:val="24"/>
        </w:rPr>
        <w:t>4.供应商若提供其他增值服务，可以在表中自行据实填写。</w:t>
      </w:r>
      <w:r>
        <w:rPr>
          <w:rFonts w:hint="eastAsia" w:ascii="宋体" w:hAnsi="宋体" w:cs="宋体"/>
          <w:b/>
          <w:sz w:val="32"/>
          <w:szCs w:val="32"/>
          <w:lang w:bidi="ar"/>
        </w:rPr>
        <w:br w:type="page"/>
      </w:r>
      <w:r>
        <w:rPr>
          <w:rFonts w:hint="eastAsia" w:ascii="宋体" w:hAnsi="宋体" w:cs="宋体"/>
          <w:kern w:val="0"/>
          <w:sz w:val="32"/>
          <w:szCs w:val="32"/>
        </w:rPr>
        <w:t>附件6</w:t>
      </w:r>
    </w:p>
    <w:p>
      <w:pPr>
        <w:widowControl/>
        <w:spacing w:before="100" w:beforeAutospacing="1" w:after="100" w:afterAutospacing="1" w:line="500" w:lineRule="atLeast"/>
        <w:jc w:val="center"/>
        <w:rPr>
          <w:rFonts w:ascii="宋体" w:hAnsi="宋体" w:cs="宋体"/>
          <w:kern w:val="0"/>
          <w:sz w:val="32"/>
          <w:szCs w:val="32"/>
        </w:rPr>
      </w:pPr>
      <w:r>
        <w:rPr>
          <w:rFonts w:hint="eastAsia" w:ascii="宋体" w:hAnsi="宋体" w:cs="宋体"/>
          <w:b/>
          <w:bCs/>
          <w:kern w:val="0"/>
          <w:sz w:val="32"/>
          <w:szCs w:val="32"/>
        </w:rPr>
        <w:t>开  标 一 览  表</w:t>
      </w:r>
    </w:p>
    <w:p>
      <w:pPr>
        <w:rPr>
          <w:rFonts w:ascii="宋体" w:hAnsi="宋体" w:cs="宋体"/>
          <w:kern w:val="0"/>
          <w:sz w:val="28"/>
          <w:szCs w:val="28"/>
          <w:u w:val="single"/>
        </w:rPr>
      </w:pPr>
      <w:r>
        <w:rPr>
          <w:rFonts w:hint="eastAsia" w:ascii="宋体" w:hAnsi="宋体" w:cs="宋体"/>
          <w:kern w:val="0"/>
          <w:sz w:val="28"/>
          <w:szCs w:val="28"/>
        </w:rPr>
        <w:t>投标人全称（加盖公章）：</w:t>
      </w:r>
    </w:p>
    <w:p>
      <w:pPr>
        <w:rPr>
          <w:rFonts w:ascii="宋体" w:hAnsi="宋体" w:cs="宋体"/>
          <w:kern w:val="0"/>
          <w:sz w:val="28"/>
          <w:szCs w:val="28"/>
          <w:u w:val="single"/>
        </w:rPr>
      </w:pPr>
      <w:r>
        <w:rPr>
          <w:rFonts w:hint="eastAsia" w:ascii="宋体" w:hAnsi="宋体" w:cs="宋体"/>
          <w:kern w:val="0"/>
          <w:sz w:val="28"/>
          <w:szCs w:val="28"/>
        </w:rPr>
        <w:t>项目名称：</w:t>
      </w:r>
    </w:p>
    <w:p>
      <w:pPr>
        <w:rPr>
          <w:rFonts w:ascii="宋体" w:hAnsi="宋体" w:cs="宋体"/>
          <w:kern w:val="0"/>
          <w:sz w:val="28"/>
          <w:szCs w:val="28"/>
        </w:rPr>
      </w:pPr>
      <w:r>
        <w:rPr>
          <w:rFonts w:hint="eastAsia" w:ascii="宋体" w:hAnsi="宋体" w:cs="宋体"/>
          <w:kern w:val="0"/>
          <w:sz w:val="28"/>
          <w:szCs w:val="28"/>
        </w:rPr>
        <w:t>项目编号：</w:t>
      </w:r>
    </w:p>
    <w:p>
      <w:pPr>
        <w:rPr>
          <w:rFonts w:ascii="宋体" w:hAnsi="宋体" w:cs="宋体"/>
          <w:kern w:val="0"/>
          <w:sz w:val="28"/>
          <w:szCs w:val="28"/>
        </w:rPr>
      </w:pPr>
      <w:r>
        <w:rPr>
          <w:rFonts w:hint="eastAsia" w:ascii="宋体" w:hAnsi="宋体" w:cs="宋体"/>
          <w:kern w:val="0"/>
          <w:sz w:val="28"/>
          <w:szCs w:val="28"/>
        </w:rPr>
        <w:t>分包号：</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cs="宋体"/>
                <w:szCs w:val="22"/>
              </w:rPr>
            </w:pPr>
            <w:r>
              <w:rPr>
                <w:rFonts w:hint="eastAsia" w:ascii="宋体" w:hAnsi="宋体" w:cs="宋体"/>
                <w:kern w:val="0"/>
                <w:sz w:val="28"/>
                <w:szCs w:val="28"/>
              </w:rPr>
              <w:t>投标产品名称</w:t>
            </w:r>
          </w:p>
        </w:tc>
        <w:tc>
          <w:tcPr>
            <w:tcW w:w="4607" w:type="dxa"/>
          </w:tcPr>
          <w:p>
            <w:pPr>
              <w:jc w:val="center"/>
              <w:rPr>
                <w:rFonts w:ascii="宋体" w:hAnsi="宋体" w:cs="宋体"/>
                <w:szCs w:val="22"/>
              </w:rPr>
            </w:pPr>
            <w:r>
              <w:rPr>
                <w:rFonts w:hint="eastAsia" w:ascii="宋体" w:hAnsi="宋体" w:cs="宋体"/>
                <w:kern w:val="0"/>
                <w:sz w:val="28"/>
                <w:szCs w:val="28"/>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ascii="宋体" w:hAnsi="宋体" w:cs="宋体"/>
                <w:szCs w:val="22"/>
              </w:rPr>
            </w:pPr>
          </w:p>
        </w:tc>
        <w:tc>
          <w:tcPr>
            <w:tcW w:w="4607" w:type="dxa"/>
          </w:tcPr>
          <w:p>
            <w:pPr>
              <w:rPr>
                <w:rFonts w:ascii="宋体" w:hAnsi="宋体" w:cs="宋体"/>
                <w:kern w:val="0"/>
                <w:sz w:val="28"/>
                <w:szCs w:val="28"/>
              </w:rPr>
            </w:pPr>
            <w:r>
              <w:rPr>
                <w:rFonts w:hint="eastAsia" w:ascii="宋体" w:hAnsi="宋体" w:cs="宋体"/>
                <w:kern w:val="0"/>
                <w:sz w:val="28"/>
                <w:szCs w:val="28"/>
              </w:rPr>
              <w:t>大写：    元（人民币）</w:t>
            </w:r>
          </w:p>
          <w:p>
            <w:pPr>
              <w:rPr>
                <w:rFonts w:ascii="宋体" w:hAnsi="宋体" w:cs="宋体"/>
                <w:szCs w:val="22"/>
                <w:u w:val="single"/>
              </w:rPr>
            </w:pPr>
            <w:r>
              <w:rPr>
                <w:rFonts w:hint="eastAsia" w:ascii="宋体" w:hAnsi="宋体" w:cs="宋体"/>
                <w:kern w:val="0"/>
                <w:sz w:val="28"/>
                <w:szCs w:val="28"/>
              </w:rPr>
              <w:t>小写：    元（人民币）</w:t>
            </w:r>
          </w:p>
        </w:tc>
      </w:tr>
    </w:tbl>
    <w:p>
      <w:pPr>
        <w:rPr>
          <w:rFonts w:ascii="宋体" w:hAnsi="宋体" w:cs="宋体"/>
          <w:kern w:val="0"/>
          <w:sz w:val="28"/>
          <w:szCs w:val="28"/>
        </w:rPr>
      </w:pPr>
      <w:r>
        <w:rPr>
          <w:rFonts w:hint="eastAsia" w:ascii="宋体" w:hAnsi="宋体" w:cs="宋体"/>
          <w:kern w:val="0"/>
          <w:sz w:val="28"/>
          <w:szCs w:val="28"/>
        </w:rPr>
        <w:t>日期：</w:t>
      </w:r>
    </w:p>
    <w:p>
      <w:pPr>
        <w:rPr>
          <w:rFonts w:ascii="宋体" w:hAnsi="宋体" w:cs="宋体"/>
          <w:kern w:val="0"/>
          <w:sz w:val="28"/>
          <w:szCs w:val="28"/>
        </w:rPr>
      </w:pPr>
      <w:r>
        <w:rPr>
          <w:rFonts w:hint="eastAsia" w:ascii="宋体" w:hAnsi="宋体" w:cs="宋体"/>
          <w:kern w:val="0"/>
          <w:sz w:val="28"/>
          <w:szCs w:val="28"/>
        </w:rPr>
        <w:t>填写说明：</w:t>
      </w:r>
    </w:p>
    <w:p>
      <w:pPr>
        <w:rPr>
          <w:rFonts w:ascii="宋体" w:hAnsi="宋体" w:cs="宋体"/>
          <w:kern w:val="0"/>
          <w:sz w:val="28"/>
          <w:szCs w:val="28"/>
        </w:rPr>
      </w:pPr>
      <w:r>
        <w:rPr>
          <w:rFonts w:hint="eastAsia" w:ascii="宋体" w:hAnsi="宋体" w:cs="宋体"/>
          <w:kern w:val="0"/>
          <w:sz w:val="28"/>
          <w:szCs w:val="28"/>
        </w:rPr>
        <w:t>1、开标一览表必须加盖投标单位公章（复印件无效）。</w:t>
      </w:r>
    </w:p>
    <w:p>
      <w:pPr>
        <w:spacing w:line="480" w:lineRule="exact"/>
        <w:ind w:firstLine="480" w:firstLineChars="200"/>
        <w:rPr>
          <w:rFonts w:ascii="宋体" w:hAnsi="宋体" w:cs="宋体"/>
          <w:sz w:val="24"/>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300" w:lineRule="auto"/>
        <w:outlineLvl w:val="0"/>
        <w:rPr>
          <w:rFonts w:ascii="宋体" w:hAnsi="宋体" w:cs="宋体"/>
          <w:kern w:val="0"/>
          <w:sz w:val="32"/>
          <w:szCs w:val="32"/>
        </w:rPr>
      </w:pPr>
      <w:r>
        <w:rPr>
          <w:rFonts w:hint="eastAsia" w:ascii="宋体" w:hAnsi="宋体" w:cs="宋体"/>
          <w:sz w:val="32"/>
          <w:szCs w:val="32"/>
        </w:rPr>
        <w:br w:type="page"/>
      </w:r>
      <w:r>
        <w:rPr>
          <w:rFonts w:hint="eastAsia" w:ascii="宋体" w:hAnsi="宋体" w:cs="宋体"/>
          <w:kern w:val="0"/>
          <w:sz w:val="32"/>
          <w:szCs w:val="32"/>
        </w:rPr>
        <w:t>附件7</w:t>
      </w:r>
    </w:p>
    <w:p>
      <w:pPr>
        <w:pStyle w:val="23"/>
        <w:jc w:val="center"/>
        <w:rPr>
          <w:rFonts w:ascii="宋体" w:hAnsi="宋体" w:cs="宋体"/>
          <w:kern w:val="0"/>
          <w:sz w:val="36"/>
          <w:szCs w:val="36"/>
        </w:rPr>
      </w:pPr>
      <w:r>
        <w:rPr>
          <w:rFonts w:hint="eastAsia" w:ascii="宋体" w:hAnsi="宋体" w:cs="宋体"/>
          <w:kern w:val="0"/>
          <w:sz w:val="36"/>
          <w:szCs w:val="36"/>
        </w:rPr>
        <w:t>分项报价表</w:t>
      </w:r>
    </w:p>
    <w:tbl>
      <w:tblPr>
        <w:tblStyle w:val="54"/>
        <w:tblpPr w:leftFromText="180" w:rightFromText="180" w:vertAnchor="text" w:horzAnchor="page" w:tblpX="1675" w:tblpY="85"/>
        <w:tblOverlap w:val="never"/>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258"/>
        <w:gridCol w:w="870"/>
        <w:gridCol w:w="735"/>
        <w:gridCol w:w="870"/>
        <w:gridCol w:w="915"/>
        <w:gridCol w:w="7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4" w:type="dxa"/>
          </w:tcPr>
          <w:p>
            <w:pPr>
              <w:spacing w:line="340" w:lineRule="exact"/>
              <w:jc w:val="center"/>
              <w:rPr>
                <w:rFonts w:ascii="宋体" w:hAnsi="宋体" w:cs="宋体"/>
                <w:b/>
                <w:bCs/>
                <w:sz w:val="24"/>
                <w:szCs w:val="24"/>
              </w:rPr>
            </w:pPr>
            <w:r>
              <w:rPr>
                <w:rFonts w:hint="eastAsia" w:ascii="宋体" w:hAnsi="宋体" w:cs="宋体"/>
                <w:b/>
                <w:bCs/>
                <w:sz w:val="24"/>
                <w:szCs w:val="24"/>
              </w:rPr>
              <w:t>序号</w:t>
            </w:r>
          </w:p>
        </w:tc>
        <w:tc>
          <w:tcPr>
            <w:tcW w:w="3258" w:type="dxa"/>
          </w:tcPr>
          <w:p>
            <w:pPr>
              <w:spacing w:line="340" w:lineRule="exact"/>
              <w:jc w:val="center"/>
              <w:rPr>
                <w:rFonts w:ascii="宋体" w:hAnsi="宋体" w:cs="宋体"/>
                <w:b/>
                <w:bCs/>
                <w:sz w:val="24"/>
                <w:szCs w:val="24"/>
              </w:rPr>
            </w:pPr>
            <w:r>
              <w:rPr>
                <w:rFonts w:hint="eastAsia" w:ascii="宋体" w:hAnsi="宋体" w:cs="宋体"/>
                <w:b/>
                <w:bCs/>
                <w:sz w:val="24"/>
                <w:szCs w:val="24"/>
              </w:rPr>
              <w:t>配置设备名称</w:t>
            </w:r>
          </w:p>
        </w:tc>
        <w:tc>
          <w:tcPr>
            <w:tcW w:w="870" w:type="dxa"/>
          </w:tcPr>
          <w:p>
            <w:pPr>
              <w:spacing w:line="340" w:lineRule="exact"/>
              <w:jc w:val="center"/>
              <w:rPr>
                <w:rFonts w:ascii="宋体" w:hAnsi="宋体" w:cs="宋体"/>
                <w:b/>
                <w:bCs/>
                <w:sz w:val="24"/>
                <w:szCs w:val="24"/>
              </w:rPr>
            </w:pPr>
            <w:r>
              <w:rPr>
                <w:rFonts w:hint="eastAsia" w:ascii="宋体" w:hAnsi="宋体" w:cs="宋体"/>
                <w:b/>
                <w:bCs/>
                <w:sz w:val="24"/>
                <w:szCs w:val="24"/>
              </w:rPr>
              <w:t>数量</w:t>
            </w:r>
          </w:p>
        </w:tc>
        <w:tc>
          <w:tcPr>
            <w:tcW w:w="735" w:type="dxa"/>
          </w:tcPr>
          <w:p>
            <w:pPr>
              <w:spacing w:line="340" w:lineRule="exact"/>
              <w:jc w:val="center"/>
              <w:rPr>
                <w:rFonts w:ascii="宋体" w:hAnsi="宋体" w:cs="宋体"/>
                <w:b/>
                <w:bCs/>
                <w:sz w:val="24"/>
                <w:szCs w:val="24"/>
              </w:rPr>
            </w:pPr>
            <w:r>
              <w:rPr>
                <w:rFonts w:hint="eastAsia" w:ascii="宋体" w:hAnsi="宋体" w:cs="宋体"/>
                <w:b/>
                <w:bCs/>
                <w:sz w:val="24"/>
                <w:szCs w:val="24"/>
              </w:rPr>
              <w:t>单位</w:t>
            </w:r>
          </w:p>
        </w:tc>
        <w:tc>
          <w:tcPr>
            <w:tcW w:w="870" w:type="dxa"/>
          </w:tcPr>
          <w:p>
            <w:pPr>
              <w:spacing w:line="340" w:lineRule="exact"/>
              <w:jc w:val="center"/>
              <w:rPr>
                <w:rFonts w:ascii="宋体" w:hAnsi="宋体" w:cs="宋体"/>
                <w:b/>
                <w:bCs/>
                <w:sz w:val="24"/>
                <w:szCs w:val="24"/>
              </w:rPr>
            </w:pPr>
            <w:r>
              <w:rPr>
                <w:rFonts w:hint="eastAsia" w:ascii="宋体" w:hAnsi="宋体" w:cs="宋体"/>
                <w:b/>
                <w:bCs/>
                <w:sz w:val="24"/>
                <w:szCs w:val="24"/>
              </w:rPr>
              <w:t>综合单价（元）</w:t>
            </w:r>
          </w:p>
        </w:tc>
        <w:tc>
          <w:tcPr>
            <w:tcW w:w="915" w:type="dxa"/>
          </w:tcPr>
          <w:p>
            <w:pPr>
              <w:spacing w:line="340" w:lineRule="exact"/>
              <w:jc w:val="center"/>
              <w:rPr>
                <w:rFonts w:ascii="宋体" w:hAnsi="宋体" w:cs="宋体"/>
                <w:b/>
                <w:bCs/>
                <w:sz w:val="24"/>
                <w:szCs w:val="24"/>
              </w:rPr>
            </w:pPr>
            <w:r>
              <w:rPr>
                <w:rFonts w:hint="eastAsia" w:ascii="宋体" w:hAnsi="宋体" w:cs="宋体"/>
                <w:b/>
                <w:bCs/>
                <w:sz w:val="24"/>
                <w:szCs w:val="24"/>
              </w:rPr>
              <w:t>综合合价（元）</w:t>
            </w:r>
          </w:p>
        </w:tc>
        <w:tc>
          <w:tcPr>
            <w:tcW w:w="735" w:type="dxa"/>
          </w:tcPr>
          <w:p>
            <w:pPr>
              <w:spacing w:line="340" w:lineRule="exact"/>
              <w:jc w:val="center"/>
              <w:rPr>
                <w:rFonts w:ascii="宋体" w:hAnsi="宋体" w:cs="宋体"/>
                <w:b/>
                <w:bCs/>
                <w:sz w:val="24"/>
                <w:szCs w:val="24"/>
              </w:rPr>
            </w:pPr>
            <w:r>
              <w:rPr>
                <w:rFonts w:hint="eastAsia" w:ascii="宋体" w:hAnsi="宋体" w:cs="宋体"/>
                <w:b/>
                <w:bCs/>
                <w:sz w:val="24"/>
                <w:szCs w:val="24"/>
              </w:rPr>
              <w:t>型号规格</w:t>
            </w:r>
          </w:p>
        </w:tc>
        <w:tc>
          <w:tcPr>
            <w:tcW w:w="698" w:type="dxa"/>
          </w:tcPr>
          <w:p>
            <w:pPr>
              <w:spacing w:line="340" w:lineRule="exact"/>
              <w:jc w:val="center"/>
              <w:rPr>
                <w:rFonts w:ascii="宋体" w:hAnsi="宋体" w:cs="宋体"/>
                <w:b/>
                <w:bCs/>
                <w:sz w:val="24"/>
                <w:szCs w:val="24"/>
              </w:rPr>
            </w:pPr>
            <w:r>
              <w:rPr>
                <w:rFonts w:hint="eastAsia" w:ascii="宋体" w:hAnsi="宋体" w:cs="宋体"/>
                <w:b/>
                <w:bCs/>
                <w:sz w:val="24"/>
                <w:szCs w:val="24"/>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1</w:t>
            </w:r>
          </w:p>
        </w:tc>
        <w:tc>
          <w:tcPr>
            <w:tcW w:w="3258" w:type="dxa"/>
          </w:tcPr>
          <w:p>
            <w:pPr>
              <w:spacing w:line="340" w:lineRule="exact"/>
              <w:jc w:val="center"/>
              <w:rPr>
                <w:rFonts w:ascii="宋体" w:hAnsi="宋体" w:cs="宋体"/>
              </w:rPr>
            </w:pPr>
            <w:r>
              <w:rPr>
                <w:rFonts w:hint="eastAsia" w:ascii="宋体" w:hAnsi="宋体" w:cs="宋体"/>
              </w:rPr>
              <w:t>胸、腹部检查智能模拟训练系统  网络版-教师主控机</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735" w:type="dxa"/>
          </w:tcPr>
          <w:p>
            <w:pPr>
              <w:spacing w:line="340" w:lineRule="exact"/>
              <w:jc w:val="center"/>
              <w:rPr>
                <w:rFonts w:ascii="宋体" w:hAnsi="宋体" w:cs="宋体"/>
              </w:rPr>
            </w:pPr>
            <w:r>
              <w:rPr>
                <w:rFonts w:hint="eastAsia" w:ascii="宋体" w:hAnsi="宋体" w:cs="宋体"/>
              </w:rPr>
              <w:t>套</w:t>
            </w:r>
          </w:p>
        </w:tc>
        <w:tc>
          <w:tcPr>
            <w:tcW w:w="870" w:type="dxa"/>
          </w:tcPr>
          <w:p>
            <w:pPr>
              <w:spacing w:line="340" w:lineRule="exact"/>
              <w:jc w:val="center"/>
              <w:rPr>
                <w:rFonts w:ascii="宋体" w:hAnsi="宋体" w:cs="宋体"/>
              </w:rPr>
            </w:pPr>
          </w:p>
        </w:tc>
        <w:tc>
          <w:tcPr>
            <w:tcW w:w="915" w:type="dxa"/>
          </w:tcPr>
          <w:p>
            <w:pPr>
              <w:spacing w:line="340" w:lineRule="exact"/>
              <w:jc w:val="center"/>
              <w:rPr>
                <w:rFonts w:ascii="宋体" w:hAnsi="宋体" w:cs="宋体"/>
              </w:rPr>
            </w:pPr>
          </w:p>
        </w:tc>
        <w:tc>
          <w:tcPr>
            <w:tcW w:w="735" w:type="dxa"/>
          </w:tcPr>
          <w:p>
            <w:pPr>
              <w:spacing w:line="340" w:lineRule="exact"/>
              <w:jc w:val="center"/>
              <w:rPr>
                <w:rFonts w:ascii="宋体" w:hAnsi="宋体" w:cs="宋体"/>
              </w:rPr>
            </w:pPr>
          </w:p>
        </w:tc>
        <w:tc>
          <w:tcPr>
            <w:tcW w:w="698" w:type="dxa"/>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2</w:t>
            </w:r>
          </w:p>
        </w:tc>
        <w:tc>
          <w:tcPr>
            <w:tcW w:w="3258" w:type="dxa"/>
          </w:tcPr>
          <w:p>
            <w:pPr>
              <w:spacing w:line="340" w:lineRule="exact"/>
              <w:jc w:val="center"/>
              <w:rPr>
                <w:rFonts w:ascii="宋体" w:hAnsi="宋体" w:cs="宋体"/>
              </w:rPr>
            </w:pPr>
            <w:r>
              <w:rPr>
                <w:rFonts w:hint="eastAsia" w:ascii="宋体" w:hAnsi="宋体" w:cs="宋体"/>
              </w:rPr>
              <w:t>胸、腹部检查智能模拟训练系统  网络版－学生终端机</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15</w:t>
            </w:r>
          </w:p>
        </w:tc>
        <w:tc>
          <w:tcPr>
            <w:tcW w:w="735" w:type="dxa"/>
          </w:tcPr>
          <w:p>
            <w:pPr>
              <w:spacing w:line="340" w:lineRule="exact"/>
              <w:jc w:val="center"/>
              <w:rPr>
                <w:rFonts w:ascii="宋体" w:hAnsi="宋体" w:cs="宋体"/>
              </w:rPr>
            </w:pPr>
            <w:r>
              <w:rPr>
                <w:rFonts w:hint="eastAsia" w:ascii="宋体" w:hAnsi="宋体" w:cs="宋体"/>
              </w:rPr>
              <w:t>套</w:t>
            </w:r>
          </w:p>
        </w:tc>
        <w:tc>
          <w:tcPr>
            <w:tcW w:w="870" w:type="dxa"/>
          </w:tcPr>
          <w:p>
            <w:pPr>
              <w:spacing w:line="340" w:lineRule="exact"/>
              <w:jc w:val="center"/>
              <w:rPr>
                <w:rFonts w:ascii="宋体" w:hAnsi="宋体" w:cs="宋体"/>
              </w:rPr>
            </w:pPr>
          </w:p>
        </w:tc>
        <w:tc>
          <w:tcPr>
            <w:tcW w:w="915" w:type="dxa"/>
          </w:tcPr>
          <w:p>
            <w:pPr>
              <w:spacing w:line="340" w:lineRule="exact"/>
              <w:jc w:val="center"/>
              <w:rPr>
                <w:rFonts w:ascii="宋体" w:hAnsi="宋体" w:cs="宋体"/>
              </w:rPr>
            </w:pPr>
          </w:p>
        </w:tc>
        <w:tc>
          <w:tcPr>
            <w:tcW w:w="735" w:type="dxa"/>
          </w:tcPr>
          <w:p>
            <w:pPr>
              <w:spacing w:line="340" w:lineRule="exact"/>
              <w:jc w:val="center"/>
              <w:rPr>
                <w:rFonts w:ascii="宋体" w:hAnsi="宋体" w:cs="宋体"/>
              </w:rPr>
            </w:pPr>
          </w:p>
        </w:tc>
        <w:tc>
          <w:tcPr>
            <w:tcW w:w="698" w:type="dxa"/>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3</w:t>
            </w:r>
          </w:p>
        </w:tc>
        <w:tc>
          <w:tcPr>
            <w:tcW w:w="3258" w:type="dxa"/>
          </w:tcPr>
          <w:p>
            <w:pPr>
              <w:spacing w:line="340" w:lineRule="exact"/>
              <w:jc w:val="center"/>
              <w:rPr>
                <w:rFonts w:ascii="宋体" w:hAnsi="宋体" w:cs="宋体"/>
                <w:sz w:val="24"/>
                <w:szCs w:val="24"/>
              </w:rPr>
            </w:pPr>
            <w:r>
              <w:rPr>
                <w:rFonts w:hint="eastAsia" w:ascii="宋体" w:hAnsi="宋体" w:cs="宋体"/>
              </w:rPr>
              <w:t>可电动升降功能实验台</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套</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4</w:t>
            </w:r>
          </w:p>
        </w:tc>
        <w:tc>
          <w:tcPr>
            <w:tcW w:w="3258" w:type="dxa"/>
          </w:tcPr>
          <w:p>
            <w:pPr>
              <w:spacing w:line="340" w:lineRule="exact"/>
              <w:jc w:val="center"/>
              <w:rPr>
                <w:rFonts w:ascii="宋体" w:hAnsi="宋体" w:cs="宋体"/>
                <w:sz w:val="24"/>
                <w:szCs w:val="24"/>
              </w:rPr>
            </w:pPr>
            <w:r>
              <w:rPr>
                <w:rFonts w:hint="eastAsia" w:ascii="宋体" w:hAnsi="宋体" w:cs="宋体"/>
              </w:rPr>
              <w:t>听诊器</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32</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个</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5</w:t>
            </w:r>
          </w:p>
        </w:tc>
        <w:tc>
          <w:tcPr>
            <w:tcW w:w="3258" w:type="dxa"/>
          </w:tcPr>
          <w:p>
            <w:pPr>
              <w:spacing w:line="340" w:lineRule="exact"/>
              <w:jc w:val="center"/>
              <w:rPr>
                <w:rFonts w:ascii="宋体" w:hAnsi="宋体" w:cs="宋体"/>
                <w:sz w:val="24"/>
                <w:szCs w:val="24"/>
              </w:rPr>
            </w:pPr>
            <w:r>
              <w:rPr>
                <w:rFonts w:hint="eastAsia" w:ascii="宋体" w:hAnsi="宋体" w:cs="宋体"/>
              </w:rPr>
              <w:t>显示端旋转支架</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个</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6</w:t>
            </w:r>
          </w:p>
        </w:tc>
        <w:tc>
          <w:tcPr>
            <w:tcW w:w="3258" w:type="dxa"/>
          </w:tcPr>
          <w:p>
            <w:pPr>
              <w:spacing w:line="340" w:lineRule="exact"/>
              <w:jc w:val="center"/>
              <w:rPr>
                <w:rFonts w:ascii="宋体" w:hAnsi="宋体" w:cs="宋体"/>
                <w:sz w:val="24"/>
                <w:szCs w:val="24"/>
              </w:rPr>
            </w:pPr>
            <w:r>
              <w:rPr>
                <w:rFonts w:hint="eastAsia" w:ascii="宋体" w:hAnsi="宋体" w:cs="宋体"/>
              </w:rPr>
              <w:t>胸、腹部检查虚拟仿真训练系统光盘</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套</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7</w:t>
            </w:r>
          </w:p>
        </w:tc>
        <w:tc>
          <w:tcPr>
            <w:tcW w:w="3258" w:type="dxa"/>
          </w:tcPr>
          <w:p>
            <w:pPr>
              <w:spacing w:line="340" w:lineRule="exact"/>
              <w:jc w:val="center"/>
              <w:rPr>
                <w:rFonts w:ascii="宋体" w:hAnsi="宋体" w:cs="宋体"/>
                <w:sz w:val="24"/>
                <w:szCs w:val="24"/>
              </w:rPr>
            </w:pPr>
            <w:r>
              <w:rPr>
                <w:rFonts w:hint="eastAsia" w:ascii="宋体" w:hAnsi="宋体" w:cs="宋体"/>
              </w:rPr>
              <w:t>配套操作电脑（含显示器）</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套</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8</w:t>
            </w:r>
          </w:p>
        </w:tc>
        <w:tc>
          <w:tcPr>
            <w:tcW w:w="3258" w:type="dxa"/>
          </w:tcPr>
          <w:p>
            <w:pPr>
              <w:spacing w:line="340" w:lineRule="exact"/>
              <w:jc w:val="center"/>
              <w:rPr>
                <w:rFonts w:ascii="宋体" w:hAnsi="宋体" w:cs="宋体"/>
                <w:sz w:val="24"/>
                <w:szCs w:val="24"/>
              </w:rPr>
            </w:pPr>
            <w:r>
              <w:rPr>
                <w:rFonts w:hint="eastAsia" w:ascii="宋体" w:hAnsi="宋体" w:cs="宋体"/>
              </w:rPr>
              <w:t>路由器</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台</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9</w:t>
            </w:r>
          </w:p>
        </w:tc>
        <w:tc>
          <w:tcPr>
            <w:tcW w:w="3258" w:type="dxa"/>
          </w:tcPr>
          <w:p>
            <w:pPr>
              <w:spacing w:line="340" w:lineRule="exact"/>
              <w:jc w:val="center"/>
              <w:rPr>
                <w:rFonts w:ascii="宋体" w:hAnsi="宋体" w:cs="宋体"/>
                <w:sz w:val="24"/>
                <w:szCs w:val="24"/>
              </w:rPr>
            </w:pPr>
            <w:r>
              <w:rPr>
                <w:rFonts w:hint="eastAsia" w:ascii="宋体" w:hAnsi="宋体" w:cs="宋体"/>
              </w:rPr>
              <w:t>16口交换机</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台</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10</w:t>
            </w:r>
          </w:p>
        </w:tc>
        <w:tc>
          <w:tcPr>
            <w:tcW w:w="3258" w:type="dxa"/>
          </w:tcPr>
          <w:p>
            <w:pPr>
              <w:spacing w:line="340" w:lineRule="exact"/>
              <w:jc w:val="center"/>
              <w:rPr>
                <w:rFonts w:ascii="宋体" w:hAnsi="宋体" w:cs="宋体"/>
                <w:sz w:val="24"/>
                <w:szCs w:val="24"/>
              </w:rPr>
            </w:pPr>
            <w:r>
              <w:rPr>
                <w:rFonts w:hint="eastAsia" w:ascii="宋体" w:hAnsi="宋体" w:cs="宋体"/>
              </w:rPr>
              <w:t>防静电地板</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100</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平方</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11</w:t>
            </w:r>
          </w:p>
        </w:tc>
        <w:tc>
          <w:tcPr>
            <w:tcW w:w="3258" w:type="dxa"/>
          </w:tcPr>
          <w:p>
            <w:pPr>
              <w:spacing w:line="340" w:lineRule="exact"/>
              <w:jc w:val="center"/>
              <w:rPr>
                <w:rFonts w:ascii="宋体" w:hAnsi="宋体" w:cs="宋体"/>
              </w:rPr>
            </w:pPr>
            <w:r>
              <w:rPr>
                <w:rFonts w:hint="eastAsia" w:ascii="宋体" w:hAnsi="宋体" w:cs="宋体"/>
              </w:rPr>
              <w:t>防水平推式双五孔地插（含网络插口）</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16</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个</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12</w:t>
            </w:r>
          </w:p>
        </w:tc>
        <w:tc>
          <w:tcPr>
            <w:tcW w:w="3258" w:type="dxa"/>
          </w:tcPr>
          <w:p>
            <w:pPr>
              <w:spacing w:line="340" w:lineRule="exact"/>
              <w:jc w:val="center"/>
              <w:rPr>
                <w:rFonts w:ascii="宋体" w:hAnsi="宋体" w:cs="宋体"/>
                <w:sz w:val="24"/>
                <w:szCs w:val="24"/>
              </w:rPr>
            </w:pPr>
            <w:r>
              <w:rPr>
                <w:rFonts w:hint="eastAsia" w:ascii="宋体" w:hAnsi="宋体" w:cs="宋体"/>
              </w:rPr>
              <w:t>相关配套附件、辅材、安装调试费用等</w:t>
            </w:r>
          </w:p>
        </w:tc>
        <w:tc>
          <w:tcPr>
            <w:tcW w:w="870" w:type="dxa"/>
            <w:vAlign w:val="center"/>
          </w:tcPr>
          <w:p>
            <w:pPr>
              <w:spacing w:line="340" w:lineRule="exact"/>
              <w:jc w:val="center"/>
              <w:rPr>
                <w:rFonts w:ascii="宋体" w:hAnsi="宋体" w:cs="宋体"/>
                <w:sz w:val="24"/>
                <w:szCs w:val="24"/>
              </w:rPr>
            </w:pPr>
            <w:r>
              <w:rPr>
                <w:rFonts w:hint="eastAsia" w:ascii="宋体" w:hAnsi="宋体" w:cs="宋体"/>
                <w:sz w:val="24"/>
                <w:szCs w:val="24"/>
              </w:rPr>
              <w:t>1</w:t>
            </w:r>
          </w:p>
        </w:tc>
        <w:tc>
          <w:tcPr>
            <w:tcW w:w="735" w:type="dxa"/>
          </w:tcPr>
          <w:p>
            <w:pPr>
              <w:spacing w:line="340" w:lineRule="exact"/>
              <w:jc w:val="center"/>
              <w:rPr>
                <w:rFonts w:ascii="宋体" w:hAnsi="宋体" w:cs="宋体"/>
                <w:sz w:val="24"/>
                <w:szCs w:val="24"/>
              </w:rPr>
            </w:pPr>
            <w:r>
              <w:rPr>
                <w:rFonts w:hint="eastAsia" w:ascii="宋体" w:hAnsi="宋体" w:cs="宋体"/>
                <w:sz w:val="24"/>
                <w:szCs w:val="24"/>
              </w:rPr>
              <w:t>项</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4" w:type="dxa"/>
          </w:tcPr>
          <w:p>
            <w:pPr>
              <w:spacing w:line="340" w:lineRule="exact"/>
              <w:jc w:val="center"/>
              <w:rPr>
                <w:rFonts w:ascii="宋体" w:hAnsi="宋体" w:cs="宋体"/>
                <w:sz w:val="24"/>
                <w:szCs w:val="24"/>
              </w:rPr>
            </w:pPr>
            <w:r>
              <w:rPr>
                <w:rFonts w:hint="eastAsia" w:ascii="宋体" w:hAnsi="宋体" w:cs="宋体"/>
                <w:sz w:val="24"/>
                <w:szCs w:val="24"/>
              </w:rPr>
              <w:t>13</w:t>
            </w:r>
          </w:p>
        </w:tc>
        <w:tc>
          <w:tcPr>
            <w:tcW w:w="4863" w:type="dxa"/>
            <w:gridSpan w:val="3"/>
          </w:tcPr>
          <w:p>
            <w:pPr>
              <w:spacing w:line="340" w:lineRule="exact"/>
              <w:jc w:val="center"/>
              <w:rPr>
                <w:rFonts w:ascii="宋体" w:hAnsi="宋体" w:cs="宋体"/>
                <w:sz w:val="24"/>
                <w:szCs w:val="24"/>
              </w:rPr>
            </w:pPr>
            <w:r>
              <w:rPr>
                <w:rFonts w:hint="eastAsia" w:ascii="宋体" w:hAnsi="宋体" w:cs="宋体"/>
                <w:sz w:val="24"/>
                <w:szCs w:val="24"/>
              </w:rPr>
              <w:t>合计（元）</w:t>
            </w:r>
          </w:p>
        </w:tc>
        <w:tc>
          <w:tcPr>
            <w:tcW w:w="870" w:type="dxa"/>
          </w:tcPr>
          <w:p>
            <w:pPr>
              <w:spacing w:line="340" w:lineRule="exact"/>
              <w:jc w:val="center"/>
              <w:rPr>
                <w:rFonts w:ascii="宋体" w:hAnsi="宋体" w:cs="宋体"/>
                <w:sz w:val="24"/>
                <w:szCs w:val="24"/>
              </w:rPr>
            </w:pPr>
          </w:p>
        </w:tc>
        <w:tc>
          <w:tcPr>
            <w:tcW w:w="915" w:type="dxa"/>
          </w:tcPr>
          <w:p>
            <w:pPr>
              <w:spacing w:line="340" w:lineRule="exact"/>
              <w:jc w:val="center"/>
              <w:rPr>
                <w:rFonts w:ascii="宋体" w:hAnsi="宋体" w:cs="宋体"/>
                <w:sz w:val="24"/>
                <w:szCs w:val="24"/>
              </w:rPr>
            </w:pPr>
          </w:p>
        </w:tc>
        <w:tc>
          <w:tcPr>
            <w:tcW w:w="735" w:type="dxa"/>
          </w:tcPr>
          <w:p>
            <w:pPr>
              <w:spacing w:line="340" w:lineRule="exact"/>
              <w:jc w:val="center"/>
              <w:rPr>
                <w:rFonts w:ascii="宋体" w:hAnsi="宋体" w:cs="宋体"/>
                <w:sz w:val="24"/>
                <w:szCs w:val="24"/>
              </w:rPr>
            </w:pPr>
          </w:p>
        </w:tc>
        <w:tc>
          <w:tcPr>
            <w:tcW w:w="698" w:type="dxa"/>
          </w:tcPr>
          <w:p>
            <w:pPr>
              <w:spacing w:line="340" w:lineRule="exact"/>
              <w:jc w:val="center"/>
              <w:rPr>
                <w:rFonts w:ascii="宋体" w:hAnsi="宋体" w:cs="宋体"/>
                <w:sz w:val="24"/>
                <w:szCs w:val="24"/>
              </w:rPr>
            </w:pPr>
          </w:p>
        </w:tc>
      </w:tr>
    </w:tbl>
    <w:p>
      <w:pPr>
        <w:pStyle w:val="53"/>
        <w:ind w:firstLine="400"/>
        <w:rPr>
          <w:rFonts w:ascii="宋体" w:hAnsi="宋体" w:cs="宋体"/>
        </w:rPr>
      </w:pPr>
    </w:p>
    <w:p>
      <w:pPr>
        <w:snapToGrid w:val="0"/>
        <w:spacing w:line="300" w:lineRule="auto"/>
        <w:jc w:val="right"/>
        <w:outlineLvl w:val="0"/>
        <w:rPr>
          <w:rFonts w:ascii="宋体" w:hAnsi="宋体" w:cs="宋体"/>
          <w:sz w:val="28"/>
          <w:szCs w:val="28"/>
          <w:lang w:bidi="zh-CN"/>
        </w:rPr>
      </w:pPr>
    </w:p>
    <w:p>
      <w:pPr>
        <w:snapToGrid w:val="0"/>
        <w:spacing w:line="300" w:lineRule="auto"/>
        <w:jc w:val="right"/>
        <w:outlineLvl w:val="0"/>
        <w:rPr>
          <w:rFonts w:ascii="宋体" w:hAnsi="宋体" w:cs="宋体"/>
          <w:sz w:val="28"/>
          <w:szCs w:val="28"/>
          <w:lang w:bidi="zh-CN"/>
        </w:rPr>
      </w:pPr>
      <w:r>
        <w:rPr>
          <w:rFonts w:hint="eastAsia" w:ascii="宋体" w:hAnsi="宋体" w:cs="宋体"/>
          <w:sz w:val="28"/>
          <w:szCs w:val="28"/>
          <w:lang w:bidi="zh-CN"/>
        </w:rPr>
        <w:t>企业名称（盖章）：</w:t>
      </w:r>
    </w:p>
    <w:p>
      <w:pPr>
        <w:snapToGrid w:val="0"/>
        <w:spacing w:line="300" w:lineRule="auto"/>
        <w:jc w:val="right"/>
        <w:outlineLvl w:val="0"/>
        <w:rPr>
          <w:rFonts w:ascii="宋体" w:hAnsi="宋体" w:cs="宋体"/>
        </w:rPr>
      </w:pPr>
      <w:r>
        <w:rPr>
          <w:rFonts w:hint="eastAsia" w:ascii="宋体" w:hAnsi="宋体" w:cs="宋体"/>
          <w:sz w:val="28"/>
          <w:szCs w:val="28"/>
          <w:lang w:bidi="zh-CN"/>
        </w:rPr>
        <w:t xml:space="preserve">          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1" w:fontKey="{F721C1E6-DA5C-40AD-AC64-FB6364871F5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chineseCounting"/>
      <w:pStyle w:val="18"/>
      <w:suff w:val="space"/>
      <w:lvlText w:val="第%1章"/>
      <w:lvlJc w:val="left"/>
    </w:lvl>
  </w:abstractNum>
  <w:abstractNum w:abstractNumId="1">
    <w:nsid w:val="3E513AED"/>
    <w:multiLevelType w:val="singleLevel"/>
    <w:tmpl w:val="3E513AED"/>
    <w:lvl w:ilvl="0" w:tentative="0">
      <w:start w:val="1"/>
      <w:numFmt w:val="decimal"/>
      <w:lvlText w:val="%1."/>
      <w:lvlJc w:val="left"/>
      <w:pPr>
        <w:tabs>
          <w:tab w:val="left" w:pos="312"/>
        </w:tabs>
      </w:pPr>
    </w:lvl>
  </w:abstractNum>
  <w:abstractNum w:abstractNumId="2">
    <w:nsid w:val="5E2616E2"/>
    <w:multiLevelType w:val="multilevel"/>
    <w:tmpl w:val="5E2616E2"/>
    <w:lvl w:ilvl="0" w:tentative="0">
      <w:start w:val="1"/>
      <w:numFmt w:val="bullet"/>
      <w:pStyle w:val="20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ED0C28"/>
    <w:rsid w:val="0000156C"/>
    <w:rsid w:val="00004013"/>
    <w:rsid w:val="000055F6"/>
    <w:rsid w:val="00006396"/>
    <w:rsid w:val="00011796"/>
    <w:rsid w:val="00014068"/>
    <w:rsid w:val="00017BD5"/>
    <w:rsid w:val="00022C2E"/>
    <w:rsid w:val="00024ACB"/>
    <w:rsid w:val="00032D15"/>
    <w:rsid w:val="0003405F"/>
    <w:rsid w:val="0004382D"/>
    <w:rsid w:val="00047806"/>
    <w:rsid w:val="00055BF4"/>
    <w:rsid w:val="00057219"/>
    <w:rsid w:val="000657F1"/>
    <w:rsid w:val="00070B5A"/>
    <w:rsid w:val="00081915"/>
    <w:rsid w:val="0009128A"/>
    <w:rsid w:val="00094326"/>
    <w:rsid w:val="000A44D8"/>
    <w:rsid w:val="000A48F2"/>
    <w:rsid w:val="000B0918"/>
    <w:rsid w:val="000B1CC6"/>
    <w:rsid w:val="000C2F79"/>
    <w:rsid w:val="000D29E1"/>
    <w:rsid w:val="000E0565"/>
    <w:rsid w:val="000E0DD1"/>
    <w:rsid w:val="000F30AB"/>
    <w:rsid w:val="0010685A"/>
    <w:rsid w:val="00110404"/>
    <w:rsid w:val="00113224"/>
    <w:rsid w:val="00114642"/>
    <w:rsid w:val="00114C98"/>
    <w:rsid w:val="00123633"/>
    <w:rsid w:val="00123ABE"/>
    <w:rsid w:val="0013073B"/>
    <w:rsid w:val="0013376F"/>
    <w:rsid w:val="00136AE4"/>
    <w:rsid w:val="001501B9"/>
    <w:rsid w:val="001509E2"/>
    <w:rsid w:val="001553E8"/>
    <w:rsid w:val="001646A2"/>
    <w:rsid w:val="00165AC9"/>
    <w:rsid w:val="00171D00"/>
    <w:rsid w:val="0017422A"/>
    <w:rsid w:val="00177F7A"/>
    <w:rsid w:val="00181218"/>
    <w:rsid w:val="00182392"/>
    <w:rsid w:val="00182586"/>
    <w:rsid w:val="00190940"/>
    <w:rsid w:val="0019684F"/>
    <w:rsid w:val="001A0189"/>
    <w:rsid w:val="001A251F"/>
    <w:rsid w:val="001A360A"/>
    <w:rsid w:val="001B0622"/>
    <w:rsid w:val="001B1703"/>
    <w:rsid w:val="001C2459"/>
    <w:rsid w:val="001C3051"/>
    <w:rsid w:val="001C6D05"/>
    <w:rsid w:val="001D10B2"/>
    <w:rsid w:val="001F3D2B"/>
    <w:rsid w:val="001F7D24"/>
    <w:rsid w:val="00202EBA"/>
    <w:rsid w:val="002104BB"/>
    <w:rsid w:val="00210EDD"/>
    <w:rsid w:val="00212C22"/>
    <w:rsid w:val="00215CEE"/>
    <w:rsid w:val="002171E6"/>
    <w:rsid w:val="00220095"/>
    <w:rsid w:val="002229C4"/>
    <w:rsid w:val="00224010"/>
    <w:rsid w:val="00225EAF"/>
    <w:rsid w:val="002311E8"/>
    <w:rsid w:val="002319F8"/>
    <w:rsid w:val="00231D22"/>
    <w:rsid w:val="00234F3B"/>
    <w:rsid w:val="00236237"/>
    <w:rsid w:val="002363E3"/>
    <w:rsid w:val="002410A8"/>
    <w:rsid w:val="00243608"/>
    <w:rsid w:val="00243765"/>
    <w:rsid w:val="00244210"/>
    <w:rsid w:val="0024432D"/>
    <w:rsid w:val="0026420B"/>
    <w:rsid w:val="00267416"/>
    <w:rsid w:val="0027026E"/>
    <w:rsid w:val="0027055D"/>
    <w:rsid w:val="0027061E"/>
    <w:rsid w:val="0027258F"/>
    <w:rsid w:val="002747DD"/>
    <w:rsid w:val="002808F1"/>
    <w:rsid w:val="00284681"/>
    <w:rsid w:val="0029008F"/>
    <w:rsid w:val="00290830"/>
    <w:rsid w:val="00291052"/>
    <w:rsid w:val="0029166A"/>
    <w:rsid w:val="00293F27"/>
    <w:rsid w:val="002A3CFF"/>
    <w:rsid w:val="002B3D70"/>
    <w:rsid w:val="002E7449"/>
    <w:rsid w:val="002F1EF9"/>
    <w:rsid w:val="002F20AD"/>
    <w:rsid w:val="002F2BBF"/>
    <w:rsid w:val="00301515"/>
    <w:rsid w:val="00304632"/>
    <w:rsid w:val="003068FD"/>
    <w:rsid w:val="00313E02"/>
    <w:rsid w:val="003237ED"/>
    <w:rsid w:val="00340106"/>
    <w:rsid w:val="00347976"/>
    <w:rsid w:val="003543DD"/>
    <w:rsid w:val="00360366"/>
    <w:rsid w:val="00365497"/>
    <w:rsid w:val="00367AF6"/>
    <w:rsid w:val="0037102E"/>
    <w:rsid w:val="00373715"/>
    <w:rsid w:val="00374847"/>
    <w:rsid w:val="00380555"/>
    <w:rsid w:val="003823FD"/>
    <w:rsid w:val="00386763"/>
    <w:rsid w:val="00391178"/>
    <w:rsid w:val="00393C36"/>
    <w:rsid w:val="00395EC3"/>
    <w:rsid w:val="003A011B"/>
    <w:rsid w:val="003A0495"/>
    <w:rsid w:val="003A1FA6"/>
    <w:rsid w:val="003A2E26"/>
    <w:rsid w:val="003B013A"/>
    <w:rsid w:val="003B2250"/>
    <w:rsid w:val="003B6022"/>
    <w:rsid w:val="003B665E"/>
    <w:rsid w:val="003C372F"/>
    <w:rsid w:val="003E1B13"/>
    <w:rsid w:val="003F41E1"/>
    <w:rsid w:val="004002A0"/>
    <w:rsid w:val="00401107"/>
    <w:rsid w:val="004023C7"/>
    <w:rsid w:val="00403970"/>
    <w:rsid w:val="00406FEA"/>
    <w:rsid w:val="004142E0"/>
    <w:rsid w:val="0041587C"/>
    <w:rsid w:val="00417ECB"/>
    <w:rsid w:val="00420906"/>
    <w:rsid w:val="00422D3F"/>
    <w:rsid w:val="00422E84"/>
    <w:rsid w:val="00425DC7"/>
    <w:rsid w:val="00426C72"/>
    <w:rsid w:val="0042776C"/>
    <w:rsid w:val="0042793A"/>
    <w:rsid w:val="00436BE6"/>
    <w:rsid w:val="004378D1"/>
    <w:rsid w:val="004439A0"/>
    <w:rsid w:val="004469F2"/>
    <w:rsid w:val="00451451"/>
    <w:rsid w:val="00452071"/>
    <w:rsid w:val="00452734"/>
    <w:rsid w:val="00461959"/>
    <w:rsid w:val="0047388B"/>
    <w:rsid w:val="00473E27"/>
    <w:rsid w:val="004743EE"/>
    <w:rsid w:val="00476FCD"/>
    <w:rsid w:val="004778D8"/>
    <w:rsid w:val="00486A89"/>
    <w:rsid w:val="004A2C45"/>
    <w:rsid w:val="004A2D20"/>
    <w:rsid w:val="004A303F"/>
    <w:rsid w:val="004A3F63"/>
    <w:rsid w:val="004B242D"/>
    <w:rsid w:val="004B63F8"/>
    <w:rsid w:val="004B7193"/>
    <w:rsid w:val="004C20A8"/>
    <w:rsid w:val="004C2267"/>
    <w:rsid w:val="004C3084"/>
    <w:rsid w:val="004C3BEE"/>
    <w:rsid w:val="004D444E"/>
    <w:rsid w:val="004D44BA"/>
    <w:rsid w:val="004D6559"/>
    <w:rsid w:val="004E6643"/>
    <w:rsid w:val="004E6A3D"/>
    <w:rsid w:val="004E7B4B"/>
    <w:rsid w:val="004F2942"/>
    <w:rsid w:val="004F5340"/>
    <w:rsid w:val="004F5532"/>
    <w:rsid w:val="00501198"/>
    <w:rsid w:val="00513895"/>
    <w:rsid w:val="00522DEB"/>
    <w:rsid w:val="00522FCE"/>
    <w:rsid w:val="005231CB"/>
    <w:rsid w:val="005240A5"/>
    <w:rsid w:val="005326E3"/>
    <w:rsid w:val="00532F85"/>
    <w:rsid w:val="00533693"/>
    <w:rsid w:val="00533856"/>
    <w:rsid w:val="00534278"/>
    <w:rsid w:val="00542D40"/>
    <w:rsid w:val="00555337"/>
    <w:rsid w:val="00556C38"/>
    <w:rsid w:val="005603CC"/>
    <w:rsid w:val="00560660"/>
    <w:rsid w:val="005614CD"/>
    <w:rsid w:val="00562F3E"/>
    <w:rsid w:val="00574A53"/>
    <w:rsid w:val="0057565A"/>
    <w:rsid w:val="005849A6"/>
    <w:rsid w:val="00584E19"/>
    <w:rsid w:val="00593DCD"/>
    <w:rsid w:val="005965FC"/>
    <w:rsid w:val="005A2C24"/>
    <w:rsid w:val="005A3A71"/>
    <w:rsid w:val="005B6E7F"/>
    <w:rsid w:val="005B75CE"/>
    <w:rsid w:val="005C0E1B"/>
    <w:rsid w:val="005D5BF3"/>
    <w:rsid w:val="005E09C2"/>
    <w:rsid w:val="005E389C"/>
    <w:rsid w:val="005E4117"/>
    <w:rsid w:val="005E47A3"/>
    <w:rsid w:val="005E77E6"/>
    <w:rsid w:val="005F0CE0"/>
    <w:rsid w:val="00604335"/>
    <w:rsid w:val="00612E23"/>
    <w:rsid w:val="006139CC"/>
    <w:rsid w:val="00636067"/>
    <w:rsid w:val="00644F4A"/>
    <w:rsid w:val="00646CED"/>
    <w:rsid w:val="0065216F"/>
    <w:rsid w:val="00655991"/>
    <w:rsid w:val="00660580"/>
    <w:rsid w:val="00664825"/>
    <w:rsid w:val="00667D91"/>
    <w:rsid w:val="0067060B"/>
    <w:rsid w:val="0067694B"/>
    <w:rsid w:val="00684C14"/>
    <w:rsid w:val="00684D78"/>
    <w:rsid w:val="006869D0"/>
    <w:rsid w:val="006878DA"/>
    <w:rsid w:val="00687B22"/>
    <w:rsid w:val="0069234B"/>
    <w:rsid w:val="00696EBC"/>
    <w:rsid w:val="006A3198"/>
    <w:rsid w:val="006A61AA"/>
    <w:rsid w:val="006B2B28"/>
    <w:rsid w:val="006B4E08"/>
    <w:rsid w:val="006C0760"/>
    <w:rsid w:val="006C4670"/>
    <w:rsid w:val="006D2AEC"/>
    <w:rsid w:val="006D61D2"/>
    <w:rsid w:val="006E4F3F"/>
    <w:rsid w:val="006E5620"/>
    <w:rsid w:val="006E658F"/>
    <w:rsid w:val="006E698D"/>
    <w:rsid w:val="006F30DC"/>
    <w:rsid w:val="006F6909"/>
    <w:rsid w:val="006F6C9E"/>
    <w:rsid w:val="006F7FDA"/>
    <w:rsid w:val="0070003D"/>
    <w:rsid w:val="00710494"/>
    <w:rsid w:val="00720106"/>
    <w:rsid w:val="00720DAC"/>
    <w:rsid w:val="0072120A"/>
    <w:rsid w:val="007305B1"/>
    <w:rsid w:val="00732FB6"/>
    <w:rsid w:val="00742DE1"/>
    <w:rsid w:val="00746AFB"/>
    <w:rsid w:val="007507B2"/>
    <w:rsid w:val="00750CB7"/>
    <w:rsid w:val="0075259D"/>
    <w:rsid w:val="00754788"/>
    <w:rsid w:val="00757B73"/>
    <w:rsid w:val="00761E8F"/>
    <w:rsid w:val="00763193"/>
    <w:rsid w:val="0076718B"/>
    <w:rsid w:val="0076773A"/>
    <w:rsid w:val="00777B59"/>
    <w:rsid w:val="007801B1"/>
    <w:rsid w:val="0078046D"/>
    <w:rsid w:val="00783ADA"/>
    <w:rsid w:val="00792B4B"/>
    <w:rsid w:val="00796634"/>
    <w:rsid w:val="007A36AB"/>
    <w:rsid w:val="007B6CC8"/>
    <w:rsid w:val="007B7A18"/>
    <w:rsid w:val="007C084C"/>
    <w:rsid w:val="007C2BAF"/>
    <w:rsid w:val="007D0153"/>
    <w:rsid w:val="007D2265"/>
    <w:rsid w:val="007D4DCA"/>
    <w:rsid w:val="007F46AA"/>
    <w:rsid w:val="00805A19"/>
    <w:rsid w:val="00812AD0"/>
    <w:rsid w:val="00816677"/>
    <w:rsid w:val="00820028"/>
    <w:rsid w:val="00822660"/>
    <w:rsid w:val="0082538E"/>
    <w:rsid w:val="0083145F"/>
    <w:rsid w:val="00831E59"/>
    <w:rsid w:val="00836F62"/>
    <w:rsid w:val="00843047"/>
    <w:rsid w:val="00843348"/>
    <w:rsid w:val="00853FF4"/>
    <w:rsid w:val="00854C61"/>
    <w:rsid w:val="00860F83"/>
    <w:rsid w:val="0088029F"/>
    <w:rsid w:val="0088035F"/>
    <w:rsid w:val="00881FE9"/>
    <w:rsid w:val="00882955"/>
    <w:rsid w:val="0088685E"/>
    <w:rsid w:val="00891F9B"/>
    <w:rsid w:val="00892CE7"/>
    <w:rsid w:val="00894160"/>
    <w:rsid w:val="00894A20"/>
    <w:rsid w:val="008C1096"/>
    <w:rsid w:val="008C334B"/>
    <w:rsid w:val="008C63CD"/>
    <w:rsid w:val="008D2B70"/>
    <w:rsid w:val="008D45E5"/>
    <w:rsid w:val="008D573E"/>
    <w:rsid w:val="008E1E18"/>
    <w:rsid w:val="008E500F"/>
    <w:rsid w:val="008E5FB4"/>
    <w:rsid w:val="008F0A76"/>
    <w:rsid w:val="00907B42"/>
    <w:rsid w:val="00910045"/>
    <w:rsid w:val="00924B59"/>
    <w:rsid w:val="0093021E"/>
    <w:rsid w:val="0094188C"/>
    <w:rsid w:val="009548CB"/>
    <w:rsid w:val="00955846"/>
    <w:rsid w:val="0095588E"/>
    <w:rsid w:val="0097048A"/>
    <w:rsid w:val="00971835"/>
    <w:rsid w:val="00973686"/>
    <w:rsid w:val="00973FBE"/>
    <w:rsid w:val="00974F2A"/>
    <w:rsid w:val="0097654B"/>
    <w:rsid w:val="00977685"/>
    <w:rsid w:val="00984574"/>
    <w:rsid w:val="00985314"/>
    <w:rsid w:val="00985FC7"/>
    <w:rsid w:val="009865B0"/>
    <w:rsid w:val="00987105"/>
    <w:rsid w:val="00991B4B"/>
    <w:rsid w:val="00992A28"/>
    <w:rsid w:val="009A1621"/>
    <w:rsid w:val="009B02AF"/>
    <w:rsid w:val="009B0A45"/>
    <w:rsid w:val="009B0DF4"/>
    <w:rsid w:val="009B2EB3"/>
    <w:rsid w:val="009B3A1D"/>
    <w:rsid w:val="009B628C"/>
    <w:rsid w:val="009C0BFD"/>
    <w:rsid w:val="009C2C44"/>
    <w:rsid w:val="009C3801"/>
    <w:rsid w:val="009C5100"/>
    <w:rsid w:val="009D7DC3"/>
    <w:rsid w:val="009E380B"/>
    <w:rsid w:val="009E5522"/>
    <w:rsid w:val="009E66D5"/>
    <w:rsid w:val="009F4184"/>
    <w:rsid w:val="00A06254"/>
    <w:rsid w:val="00A12B24"/>
    <w:rsid w:val="00A170F7"/>
    <w:rsid w:val="00A214E9"/>
    <w:rsid w:val="00A215CB"/>
    <w:rsid w:val="00A2498C"/>
    <w:rsid w:val="00A32A8E"/>
    <w:rsid w:val="00A34309"/>
    <w:rsid w:val="00A35AAF"/>
    <w:rsid w:val="00A37D21"/>
    <w:rsid w:val="00A43474"/>
    <w:rsid w:val="00A46F90"/>
    <w:rsid w:val="00A4732F"/>
    <w:rsid w:val="00A5272E"/>
    <w:rsid w:val="00A550E9"/>
    <w:rsid w:val="00A609F5"/>
    <w:rsid w:val="00A66536"/>
    <w:rsid w:val="00A72BCA"/>
    <w:rsid w:val="00A75E65"/>
    <w:rsid w:val="00A76DD9"/>
    <w:rsid w:val="00A820C7"/>
    <w:rsid w:val="00A85017"/>
    <w:rsid w:val="00A85626"/>
    <w:rsid w:val="00A856AC"/>
    <w:rsid w:val="00A91513"/>
    <w:rsid w:val="00A96E1E"/>
    <w:rsid w:val="00A97FC0"/>
    <w:rsid w:val="00AA321A"/>
    <w:rsid w:val="00AA4EE6"/>
    <w:rsid w:val="00AA7FB6"/>
    <w:rsid w:val="00AB1AF0"/>
    <w:rsid w:val="00AB7B40"/>
    <w:rsid w:val="00AC3709"/>
    <w:rsid w:val="00AC7EA3"/>
    <w:rsid w:val="00AD1597"/>
    <w:rsid w:val="00AE3AD7"/>
    <w:rsid w:val="00AE4946"/>
    <w:rsid w:val="00AF264E"/>
    <w:rsid w:val="00AF34A5"/>
    <w:rsid w:val="00AF5D1D"/>
    <w:rsid w:val="00AF6738"/>
    <w:rsid w:val="00B01F00"/>
    <w:rsid w:val="00B0336D"/>
    <w:rsid w:val="00B07191"/>
    <w:rsid w:val="00B1172E"/>
    <w:rsid w:val="00B11747"/>
    <w:rsid w:val="00B15F33"/>
    <w:rsid w:val="00B16461"/>
    <w:rsid w:val="00B17C0D"/>
    <w:rsid w:val="00B36C3B"/>
    <w:rsid w:val="00B415B8"/>
    <w:rsid w:val="00B436FF"/>
    <w:rsid w:val="00B4412C"/>
    <w:rsid w:val="00B44505"/>
    <w:rsid w:val="00B452E3"/>
    <w:rsid w:val="00B45812"/>
    <w:rsid w:val="00B47952"/>
    <w:rsid w:val="00B505B9"/>
    <w:rsid w:val="00B54925"/>
    <w:rsid w:val="00B550F9"/>
    <w:rsid w:val="00B65444"/>
    <w:rsid w:val="00B665AB"/>
    <w:rsid w:val="00B73637"/>
    <w:rsid w:val="00B736C3"/>
    <w:rsid w:val="00B740B7"/>
    <w:rsid w:val="00B82558"/>
    <w:rsid w:val="00B82820"/>
    <w:rsid w:val="00B91528"/>
    <w:rsid w:val="00BA30E6"/>
    <w:rsid w:val="00BA6B8E"/>
    <w:rsid w:val="00BC355B"/>
    <w:rsid w:val="00BC525A"/>
    <w:rsid w:val="00BC661C"/>
    <w:rsid w:val="00BD0290"/>
    <w:rsid w:val="00BD7137"/>
    <w:rsid w:val="00BE538D"/>
    <w:rsid w:val="00BF308C"/>
    <w:rsid w:val="00BF3787"/>
    <w:rsid w:val="00BF564A"/>
    <w:rsid w:val="00C06AAA"/>
    <w:rsid w:val="00C070F5"/>
    <w:rsid w:val="00C107C2"/>
    <w:rsid w:val="00C136D4"/>
    <w:rsid w:val="00C25231"/>
    <w:rsid w:val="00C311EE"/>
    <w:rsid w:val="00C32185"/>
    <w:rsid w:val="00C32D9F"/>
    <w:rsid w:val="00C40C06"/>
    <w:rsid w:val="00C44EBB"/>
    <w:rsid w:val="00C470EA"/>
    <w:rsid w:val="00C51762"/>
    <w:rsid w:val="00C6599F"/>
    <w:rsid w:val="00C65C64"/>
    <w:rsid w:val="00C71E01"/>
    <w:rsid w:val="00C76086"/>
    <w:rsid w:val="00C910DD"/>
    <w:rsid w:val="00C921FF"/>
    <w:rsid w:val="00C929A2"/>
    <w:rsid w:val="00C958D3"/>
    <w:rsid w:val="00CA28FC"/>
    <w:rsid w:val="00CA2D30"/>
    <w:rsid w:val="00CA398C"/>
    <w:rsid w:val="00CB735D"/>
    <w:rsid w:val="00CC0779"/>
    <w:rsid w:val="00CC2377"/>
    <w:rsid w:val="00CD2C31"/>
    <w:rsid w:val="00CD3662"/>
    <w:rsid w:val="00CD68C1"/>
    <w:rsid w:val="00D00132"/>
    <w:rsid w:val="00D03EDF"/>
    <w:rsid w:val="00D07D02"/>
    <w:rsid w:val="00D134AB"/>
    <w:rsid w:val="00D32B38"/>
    <w:rsid w:val="00D338A7"/>
    <w:rsid w:val="00D342EA"/>
    <w:rsid w:val="00D370BF"/>
    <w:rsid w:val="00D42F08"/>
    <w:rsid w:val="00D4650B"/>
    <w:rsid w:val="00D554DA"/>
    <w:rsid w:val="00D55AC7"/>
    <w:rsid w:val="00D560E0"/>
    <w:rsid w:val="00D571EC"/>
    <w:rsid w:val="00D57C59"/>
    <w:rsid w:val="00D6305B"/>
    <w:rsid w:val="00D63F34"/>
    <w:rsid w:val="00D67F8D"/>
    <w:rsid w:val="00D733B4"/>
    <w:rsid w:val="00D74313"/>
    <w:rsid w:val="00D751C2"/>
    <w:rsid w:val="00D81C01"/>
    <w:rsid w:val="00D87567"/>
    <w:rsid w:val="00D97914"/>
    <w:rsid w:val="00DA33AC"/>
    <w:rsid w:val="00DA3F6B"/>
    <w:rsid w:val="00DC5895"/>
    <w:rsid w:val="00DD210C"/>
    <w:rsid w:val="00DF2605"/>
    <w:rsid w:val="00DF6462"/>
    <w:rsid w:val="00E01550"/>
    <w:rsid w:val="00E07CFC"/>
    <w:rsid w:val="00E11641"/>
    <w:rsid w:val="00E15816"/>
    <w:rsid w:val="00E15B96"/>
    <w:rsid w:val="00E17886"/>
    <w:rsid w:val="00E2317D"/>
    <w:rsid w:val="00E33A20"/>
    <w:rsid w:val="00E34EA3"/>
    <w:rsid w:val="00E41ABB"/>
    <w:rsid w:val="00E421D6"/>
    <w:rsid w:val="00E4261A"/>
    <w:rsid w:val="00E528EC"/>
    <w:rsid w:val="00E54D21"/>
    <w:rsid w:val="00E54ED0"/>
    <w:rsid w:val="00E55797"/>
    <w:rsid w:val="00E644D6"/>
    <w:rsid w:val="00E64EA9"/>
    <w:rsid w:val="00E651E4"/>
    <w:rsid w:val="00E678AE"/>
    <w:rsid w:val="00E752BD"/>
    <w:rsid w:val="00E75426"/>
    <w:rsid w:val="00E81325"/>
    <w:rsid w:val="00E813EC"/>
    <w:rsid w:val="00E827DF"/>
    <w:rsid w:val="00E9327A"/>
    <w:rsid w:val="00E9543D"/>
    <w:rsid w:val="00EA0641"/>
    <w:rsid w:val="00EA32F7"/>
    <w:rsid w:val="00EA3AC4"/>
    <w:rsid w:val="00EA5D14"/>
    <w:rsid w:val="00EB0939"/>
    <w:rsid w:val="00EB27A7"/>
    <w:rsid w:val="00EB51F1"/>
    <w:rsid w:val="00EC3B98"/>
    <w:rsid w:val="00ED06F3"/>
    <w:rsid w:val="00ED0C28"/>
    <w:rsid w:val="00ED7B6A"/>
    <w:rsid w:val="00EF0FF9"/>
    <w:rsid w:val="00EF42E2"/>
    <w:rsid w:val="00EF5668"/>
    <w:rsid w:val="00F00893"/>
    <w:rsid w:val="00F01752"/>
    <w:rsid w:val="00F02869"/>
    <w:rsid w:val="00F11963"/>
    <w:rsid w:val="00F15CD4"/>
    <w:rsid w:val="00F16B04"/>
    <w:rsid w:val="00F230A1"/>
    <w:rsid w:val="00F25A38"/>
    <w:rsid w:val="00F25D8B"/>
    <w:rsid w:val="00F31AC1"/>
    <w:rsid w:val="00F3376E"/>
    <w:rsid w:val="00F33913"/>
    <w:rsid w:val="00F34B8C"/>
    <w:rsid w:val="00F36148"/>
    <w:rsid w:val="00F43B02"/>
    <w:rsid w:val="00F46FD5"/>
    <w:rsid w:val="00F54978"/>
    <w:rsid w:val="00F57F0B"/>
    <w:rsid w:val="00F62BD1"/>
    <w:rsid w:val="00F67A34"/>
    <w:rsid w:val="00F71CA5"/>
    <w:rsid w:val="00F74CA2"/>
    <w:rsid w:val="00F7625B"/>
    <w:rsid w:val="00F826C2"/>
    <w:rsid w:val="00F862E0"/>
    <w:rsid w:val="00F870D9"/>
    <w:rsid w:val="00F940B1"/>
    <w:rsid w:val="00F96A4F"/>
    <w:rsid w:val="00FA04CA"/>
    <w:rsid w:val="00FA3204"/>
    <w:rsid w:val="00FA338F"/>
    <w:rsid w:val="00FA3ABF"/>
    <w:rsid w:val="00FA6860"/>
    <w:rsid w:val="00FB02DB"/>
    <w:rsid w:val="00FB04A7"/>
    <w:rsid w:val="00FB4198"/>
    <w:rsid w:val="00FB595F"/>
    <w:rsid w:val="00FB764E"/>
    <w:rsid w:val="00FC0A2B"/>
    <w:rsid w:val="00FD2DC5"/>
    <w:rsid w:val="00FD4985"/>
    <w:rsid w:val="00FE05F9"/>
    <w:rsid w:val="00FE7293"/>
    <w:rsid w:val="00FF2732"/>
    <w:rsid w:val="00FF3A6E"/>
    <w:rsid w:val="00FF6FAE"/>
    <w:rsid w:val="02FA5754"/>
    <w:rsid w:val="03AB3540"/>
    <w:rsid w:val="03C23CC6"/>
    <w:rsid w:val="04450E24"/>
    <w:rsid w:val="044F407A"/>
    <w:rsid w:val="047006DC"/>
    <w:rsid w:val="04777312"/>
    <w:rsid w:val="04C45905"/>
    <w:rsid w:val="04FC44F3"/>
    <w:rsid w:val="05A62142"/>
    <w:rsid w:val="05B120C7"/>
    <w:rsid w:val="05EC445F"/>
    <w:rsid w:val="06480A2A"/>
    <w:rsid w:val="06A76BA1"/>
    <w:rsid w:val="06D66EBD"/>
    <w:rsid w:val="06FF6D2E"/>
    <w:rsid w:val="078F7797"/>
    <w:rsid w:val="07B53526"/>
    <w:rsid w:val="080B0974"/>
    <w:rsid w:val="087149F8"/>
    <w:rsid w:val="08E6063E"/>
    <w:rsid w:val="08FC6227"/>
    <w:rsid w:val="09024A32"/>
    <w:rsid w:val="09621E65"/>
    <w:rsid w:val="09D37B64"/>
    <w:rsid w:val="0AA065DF"/>
    <w:rsid w:val="0B6F5410"/>
    <w:rsid w:val="0B9E6F6B"/>
    <w:rsid w:val="0BE107C4"/>
    <w:rsid w:val="0C373B3F"/>
    <w:rsid w:val="0C8360A2"/>
    <w:rsid w:val="0CAA69BB"/>
    <w:rsid w:val="0CE26B41"/>
    <w:rsid w:val="0DC42165"/>
    <w:rsid w:val="0DF27D09"/>
    <w:rsid w:val="0FBA6D43"/>
    <w:rsid w:val="11062688"/>
    <w:rsid w:val="11313B8D"/>
    <w:rsid w:val="11AA463D"/>
    <w:rsid w:val="123D4AE5"/>
    <w:rsid w:val="135A3AAA"/>
    <w:rsid w:val="140A78E4"/>
    <w:rsid w:val="14695C25"/>
    <w:rsid w:val="14735ED6"/>
    <w:rsid w:val="1491738C"/>
    <w:rsid w:val="14AA7709"/>
    <w:rsid w:val="14BB78FC"/>
    <w:rsid w:val="1510541C"/>
    <w:rsid w:val="15C37009"/>
    <w:rsid w:val="15CB3591"/>
    <w:rsid w:val="16113CBC"/>
    <w:rsid w:val="169226F4"/>
    <w:rsid w:val="16E245B3"/>
    <w:rsid w:val="16FE0011"/>
    <w:rsid w:val="170D0932"/>
    <w:rsid w:val="174A03C5"/>
    <w:rsid w:val="176E1CBA"/>
    <w:rsid w:val="17886593"/>
    <w:rsid w:val="17BD0929"/>
    <w:rsid w:val="18694E6D"/>
    <w:rsid w:val="19176566"/>
    <w:rsid w:val="199C035E"/>
    <w:rsid w:val="19AB0116"/>
    <w:rsid w:val="1A14035F"/>
    <w:rsid w:val="1ABB594C"/>
    <w:rsid w:val="1B8C2514"/>
    <w:rsid w:val="1B8C4F54"/>
    <w:rsid w:val="1BC24EDA"/>
    <w:rsid w:val="1C0E6CB2"/>
    <w:rsid w:val="1CC93362"/>
    <w:rsid w:val="1DF0067D"/>
    <w:rsid w:val="1E931599"/>
    <w:rsid w:val="1E9516DF"/>
    <w:rsid w:val="1ED878EA"/>
    <w:rsid w:val="1F775306"/>
    <w:rsid w:val="201E09CE"/>
    <w:rsid w:val="210B3229"/>
    <w:rsid w:val="210E79BD"/>
    <w:rsid w:val="211B6C91"/>
    <w:rsid w:val="217E31E4"/>
    <w:rsid w:val="219854C9"/>
    <w:rsid w:val="220C0C44"/>
    <w:rsid w:val="22434781"/>
    <w:rsid w:val="23255DE3"/>
    <w:rsid w:val="237D2665"/>
    <w:rsid w:val="23837EE3"/>
    <w:rsid w:val="242C7387"/>
    <w:rsid w:val="24C71002"/>
    <w:rsid w:val="251A3222"/>
    <w:rsid w:val="25820DF3"/>
    <w:rsid w:val="278F3846"/>
    <w:rsid w:val="2880617F"/>
    <w:rsid w:val="28D7065A"/>
    <w:rsid w:val="294070BC"/>
    <w:rsid w:val="29461787"/>
    <w:rsid w:val="298009A9"/>
    <w:rsid w:val="2A3C7123"/>
    <w:rsid w:val="2A4A46B4"/>
    <w:rsid w:val="2A885120"/>
    <w:rsid w:val="2AFC17B1"/>
    <w:rsid w:val="2B90488D"/>
    <w:rsid w:val="2BE43358"/>
    <w:rsid w:val="2C134DB6"/>
    <w:rsid w:val="2CDD25B0"/>
    <w:rsid w:val="2D23690D"/>
    <w:rsid w:val="2D3C6CD1"/>
    <w:rsid w:val="2D906F6A"/>
    <w:rsid w:val="2EEC5066"/>
    <w:rsid w:val="300B1A56"/>
    <w:rsid w:val="30810D5E"/>
    <w:rsid w:val="3092404F"/>
    <w:rsid w:val="31191AA6"/>
    <w:rsid w:val="31E731D4"/>
    <w:rsid w:val="31FF0B5D"/>
    <w:rsid w:val="320971C0"/>
    <w:rsid w:val="32201188"/>
    <w:rsid w:val="323B7D62"/>
    <w:rsid w:val="33D05318"/>
    <w:rsid w:val="35330564"/>
    <w:rsid w:val="35520A5C"/>
    <w:rsid w:val="3575313D"/>
    <w:rsid w:val="35EF39C4"/>
    <w:rsid w:val="36E763F9"/>
    <w:rsid w:val="3748032F"/>
    <w:rsid w:val="37785979"/>
    <w:rsid w:val="38465865"/>
    <w:rsid w:val="38661DB1"/>
    <w:rsid w:val="3A30545C"/>
    <w:rsid w:val="3B401CBE"/>
    <w:rsid w:val="3BB545D4"/>
    <w:rsid w:val="3BB6700C"/>
    <w:rsid w:val="3BB761EB"/>
    <w:rsid w:val="3C4F6E9E"/>
    <w:rsid w:val="3C511EC1"/>
    <w:rsid w:val="3C9278CB"/>
    <w:rsid w:val="3CBB3CDA"/>
    <w:rsid w:val="3D0C64DB"/>
    <w:rsid w:val="3D1222B3"/>
    <w:rsid w:val="3DCE6E08"/>
    <w:rsid w:val="3E401F75"/>
    <w:rsid w:val="3F9E5DD6"/>
    <w:rsid w:val="3FDB607F"/>
    <w:rsid w:val="40125E97"/>
    <w:rsid w:val="402263BC"/>
    <w:rsid w:val="40AE1330"/>
    <w:rsid w:val="40E3673F"/>
    <w:rsid w:val="41F559B4"/>
    <w:rsid w:val="42925F27"/>
    <w:rsid w:val="434E0403"/>
    <w:rsid w:val="43602633"/>
    <w:rsid w:val="43944CD4"/>
    <w:rsid w:val="43B41D58"/>
    <w:rsid w:val="43F67E27"/>
    <w:rsid w:val="440A7553"/>
    <w:rsid w:val="442B1412"/>
    <w:rsid w:val="44BF7AC3"/>
    <w:rsid w:val="44C21E49"/>
    <w:rsid w:val="453E058F"/>
    <w:rsid w:val="455A4AE2"/>
    <w:rsid w:val="45BD114B"/>
    <w:rsid w:val="45CA7A30"/>
    <w:rsid w:val="46064BA4"/>
    <w:rsid w:val="463577A7"/>
    <w:rsid w:val="4677113D"/>
    <w:rsid w:val="467A268B"/>
    <w:rsid w:val="46EF361B"/>
    <w:rsid w:val="472A27BC"/>
    <w:rsid w:val="48215FD0"/>
    <w:rsid w:val="48D2716E"/>
    <w:rsid w:val="494D3C14"/>
    <w:rsid w:val="4B9274C1"/>
    <w:rsid w:val="4D3F2F92"/>
    <w:rsid w:val="4E7C58A8"/>
    <w:rsid w:val="4F7B2A3B"/>
    <w:rsid w:val="4FD277EE"/>
    <w:rsid w:val="50126E09"/>
    <w:rsid w:val="50451415"/>
    <w:rsid w:val="5075461D"/>
    <w:rsid w:val="509D602C"/>
    <w:rsid w:val="50F22F2E"/>
    <w:rsid w:val="524D09F5"/>
    <w:rsid w:val="52722813"/>
    <w:rsid w:val="52F2377D"/>
    <w:rsid w:val="539349F0"/>
    <w:rsid w:val="53DD7103"/>
    <w:rsid w:val="54E93245"/>
    <w:rsid w:val="550C1B16"/>
    <w:rsid w:val="551F0D2D"/>
    <w:rsid w:val="555239AA"/>
    <w:rsid w:val="5555030C"/>
    <w:rsid w:val="555A6B7C"/>
    <w:rsid w:val="55DB151F"/>
    <w:rsid w:val="55EB7604"/>
    <w:rsid w:val="55F654C2"/>
    <w:rsid w:val="56C56931"/>
    <w:rsid w:val="571A1B54"/>
    <w:rsid w:val="5879699A"/>
    <w:rsid w:val="58D35CB6"/>
    <w:rsid w:val="59532024"/>
    <w:rsid w:val="59A944BD"/>
    <w:rsid w:val="59BD478B"/>
    <w:rsid w:val="5A2D6E91"/>
    <w:rsid w:val="5A471D7A"/>
    <w:rsid w:val="5AD859A2"/>
    <w:rsid w:val="5B20172A"/>
    <w:rsid w:val="5B6104AC"/>
    <w:rsid w:val="5B7A6F8C"/>
    <w:rsid w:val="5C02145B"/>
    <w:rsid w:val="5C186241"/>
    <w:rsid w:val="5C5B527D"/>
    <w:rsid w:val="5D0E5BDE"/>
    <w:rsid w:val="5D4C0C9D"/>
    <w:rsid w:val="5E19782F"/>
    <w:rsid w:val="5E456B69"/>
    <w:rsid w:val="5F047390"/>
    <w:rsid w:val="5F265A78"/>
    <w:rsid w:val="5F387182"/>
    <w:rsid w:val="5F967450"/>
    <w:rsid w:val="5FC12603"/>
    <w:rsid w:val="5FCF2B33"/>
    <w:rsid w:val="610A61A7"/>
    <w:rsid w:val="6170330B"/>
    <w:rsid w:val="62072183"/>
    <w:rsid w:val="622F2D79"/>
    <w:rsid w:val="62BA741F"/>
    <w:rsid w:val="634700D4"/>
    <w:rsid w:val="640740A1"/>
    <w:rsid w:val="64712894"/>
    <w:rsid w:val="64C32B9E"/>
    <w:rsid w:val="64F95030"/>
    <w:rsid w:val="65253744"/>
    <w:rsid w:val="65600F3F"/>
    <w:rsid w:val="65891362"/>
    <w:rsid w:val="66C37A39"/>
    <w:rsid w:val="672E29D7"/>
    <w:rsid w:val="67C77DCA"/>
    <w:rsid w:val="67CD4BC3"/>
    <w:rsid w:val="686A1A73"/>
    <w:rsid w:val="68BA187C"/>
    <w:rsid w:val="690361DC"/>
    <w:rsid w:val="6A750155"/>
    <w:rsid w:val="6C645C08"/>
    <w:rsid w:val="6C892B57"/>
    <w:rsid w:val="6C955B85"/>
    <w:rsid w:val="6CE8644B"/>
    <w:rsid w:val="6DD8378F"/>
    <w:rsid w:val="6E370425"/>
    <w:rsid w:val="6EE640D0"/>
    <w:rsid w:val="6F550B9B"/>
    <w:rsid w:val="6F5A6C1E"/>
    <w:rsid w:val="6FDD4D55"/>
    <w:rsid w:val="7021134A"/>
    <w:rsid w:val="70390D6C"/>
    <w:rsid w:val="70A84023"/>
    <w:rsid w:val="70C77C95"/>
    <w:rsid w:val="70F53CD9"/>
    <w:rsid w:val="71205229"/>
    <w:rsid w:val="72C3757D"/>
    <w:rsid w:val="72C92970"/>
    <w:rsid w:val="733C27A4"/>
    <w:rsid w:val="734D3F7D"/>
    <w:rsid w:val="750236F7"/>
    <w:rsid w:val="751730CA"/>
    <w:rsid w:val="75472330"/>
    <w:rsid w:val="75702BEE"/>
    <w:rsid w:val="76137DC5"/>
    <w:rsid w:val="76285796"/>
    <w:rsid w:val="769E5342"/>
    <w:rsid w:val="76DD4F9D"/>
    <w:rsid w:val="77ED2B68"/>
    <w:rsid w:val="789A79F1"/>
    <w:rsid w:val="78FA5ED4"/>
    <w:rsid w:val="79F8405E"/>
    <w:rsid w:val="7AC13362"/>
    <w:rsid w:val="7CB56E3A"/>
    <w:rsid w:val="7D084AAC"/>
    <w:rsid w:val="7D52346D"/>
    <w:rsid w:val="7DCD6816"/>
    <w:rsid w:val="7F791E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
    <w:qFormat/>
    <w:uiPriority w:val="99"/>
    <w:pPr>
      <w:keepNext/>
      <w:jc w:val="center"/>
      <w:outlineLvl w:val="0"/>
    </w:pPr>
    <w:rPr>
      <w:rFonts w:eastAsia="仿宋_GB2312"/>
      <w:sz w:val="28"/>
      <w:szCs w:val="28"/>
    </w:rPr>
  </w:style>
  <w:style w:type="paragraph" w:styleId="5">
    <w:name w:val="heading 2"/>
    <w:basedOn w:val="1"/>
    <w:next w:val="1"/>
    <w:link w:val="68"/>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69"/>
    <w:qFormat/>
    <w:uiPriority w:val="99"/>
    <w:pPr>
      <w:keepNext/>
      <w:keepLines/>
      <w:spacing w:before="260" w:after="260" w:line="416" w:lineRule="auto"/>
      <w:outlineLvl w:val="2"/>
    </w:pPr>
    <w:rPr>
      <w:b/>
      <w:bCs/>
      <w:sz w:val="32"/>
      <w:szCs w:val="32"/>
    </w:rPr>
  </w:style>
  <w:style w:type="paragraph" w:styleId="7">
    <w:name w:val="heading 4"/>
    <w:basedOn w:val="1"/>
    <w:next w:val="8"/>
    <w:link w:val="70"/>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10">
    <w:name w:val="heading 5"/>
    <w:basedOn w:val="1"/>
    <w:next w:val="1"/>
    <w:link w:val="71"/>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72"/>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12">
    <w:name w:val="heading 7"/>
    <w:basedOn w:val="1"/>
    <w:next w:val="1"/>
    <w:link w:val="73"/>
    <w:qFormat/>
    <w:uiPriority w:val="99"/>
    <w:pPr>
      <w:keepNext/>
      <w:keepLines/>
      <w:spacing w:before="240" w:after="64" w:line="320" w:lineRule="auto"/>
      <w:outlineLvl w:val="6"/>
    </w:pPr>
    <w:rPr>
      <w:b/>
      <w:bCs/>
      <w:sz w:val="24"/>
      <w:szCs w:val="24"/>
    </w:rPr>
  </w:style>
  <w:style w:type="paragraph" w:styleId="13">
    <w:name w:val="heading 8"/>
    <w:basedOn w:val="1"/>
    <w:next w:val="1"/>
    <w:link w:val="74"/>
    <w:autoRedefine/>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4">
    <w:name w:val="heading 9"/>
    <w:basedOn w:val="1"/>
    <w:next w:val="1"/>
    <w:link w:val="75"/>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78"/>
    <w:qFormat/>
    <w:uiPriority w:val="99"/>
    <w:pPr>
      <w:spacing w:after="120"/>
    </w:pPr>
    <w:rPr>
      <w:kern w:val="0"/>
      <w:sz w:val="20"/>
      <w:szCs w:val="20"/>
    </w:rPr>
  </w:style>
  <w:style w:type="paragraph" w:styleId="3">
    <w:name w:val="Body Text 2"/>
    <w:basedOn w:val="1"/>
    <w:next w:val="2"/>
    <w:link w:val="88"/>
    <w:autoRedefine/>
    <w:qFormat/>
    <w:uiPriority w:val="99"/>
    <w:rPr>
      <w:rFonts w:ascii="宋体" w:hAnsi="宋体" w:cs="宋体"/>
      <w:kern w:val="0"/>
      <w:sz w:val="24"/>
      <w:szCs w:val="24"/>
    </w:rPr>
  </w:style>
  <w:style w:type="paragraph" w:styleId="8">
    <w:name w:val="Normal Indent"/>
    <w:basedOn w:val="1"/>
    <w:next w:val="9"/>
    <w:link w:val="113"/>
    <w:autoRedefine/>
    <w:qFormat/>
    <w:uiPriority w:val="99"/>
    <w:pPr>
      <w:ind w:firstLine="420" w:firstLineChars="200"/>
    </w:pPr>
    <w:rPr>
      <w:kern w:val="0"/>
      <w:sz w:val="24"/>
      <w:szCs w:val="24"/>
    </w:rPr>
  </w:style>
  <w:style w:type="paragraph" w:styleId="9">
    <w:name w:val="Plain Text"/>
    <w:basedOn w:val="1"/>
    <w:link w:val="80"/>
    <w:qFormat/>
    <w:uiPriority w:val="99"/>
    <w:rPr>
      <w:rFonts w:ascii="宋体" w:hAnsi="Courier New" w:cs="宋体"/>
      <w:kern w:val="0"/>
      <w:sz w:val="20"/>
      <w:szCs w:val="20"/>
    </w:rPr>
  </w:style>
  <w:style w:type="paragraph" w:styleId="15">
    <w:name w:val="List 3"/>
    <w:basedOn w:val="1"/>
    <w:autoRedefine/>
    <w:qFormat/>
    <w:uiPriority w:val="99"/>
    <w:pPr>
      <w:ind w:left="100" w:leftChars="400" w:hanging="200" w:hangingChars="200"/>
    </w:pPr>
  </w:style>
  <w:style w:type="paragraph" w:styleId="16">
    <w:name w:val="toc 7"/>
    <w:basedOn w:val="1"/>
    <w:next w:val="1"/>
    <w:autoRedefine/>
    <w:semiHidden/>
    <w:qFormat/>
    <w:uiPriority w:val="99"/>
    <w:pPr>
      <w:ind w:left="1260"/>
      <w:jc w:val="left"/>
    </w:pPr>
    <w:rPr>
      <w:sz w:val="18"/>
      <w:szCs w:val="18"/>
    </w:rPr>
  </w:style>
  <w:style w:type="paragraph" w:styleId="17">
    <w:name w:val="Note Heading"/>
    <w:basedOn w:val="1"/>
    <w:next w:val="1"/>
    <w:autoRedefine/>
    <w:qFormat/>
    <w:locked/>
    <w:uiPriority w:val="0"/>
    <w:rPr>
      <w:rFonts w:ascii="Verdana" w:hAnsi="Verdana"/>
      <w:szCs w:val="20"/>
    </w:rPr>
  </w:style>
  <w:style w:type="paragraph" w:styleId="18">
    <w:name w:val="List Bullet"/>
    <w:basedOn w:val="1"/>
    <w:qFormat/>
    <w:uiPriority w:val="99"/>
    <w:pPr>
      <w:numPr>
        <w:ilvl w:val="0"/>
        <w:numId w:val="1"/>
      </w:numPr>
      <w:tabs>
        <w:tab w:val="left" w:pos="360"/>
      </w:tabs>
    </w:pPr>
  </w:style>
  <w:style w:type="paragraph" w:styleId="19">
    <w:name w:val="Document Map"/>
    <w:basedOn w:val="1"/>
    <w:link w:val="76"/>
    <w:semiHidden/>
    <w:qFormat/>
    <w:uiPriority w:val="99"/>
    <w:rPr>
      <w:rFonts w:ascii="宋体" w:cs="宋体"/>
      <w:kern w:val="0"/>
      <w:sz w:val="18"/>
      <w:szCs w:val="18"/>
    </w:rPr>
  </w:style>
  <w:style w:type="paragraph" w:styleId="20">
    <w:name w:val="toa heading"/>
    <w:basedOn w:val="1"/>
    <w:next w:val="1"/>
    <w:autoRedefine/>
    <w:semiHidden/>
    <w:qFormat/>
    <w:uiPriority w:val="99"/>
    <w:pPr>
      <w:adjustRightInd w:val="0"/>
      <w:spacing w:before="200" w:line="360" w:lineRule="atLeast"/>
      <w:jc w:val="center"/>
    </w:pPr>
    <w:rPr>
      <w:rFonts w:ascii="Arial" w:hAnsi="Arial" w:eastAsia="黑体" w:cs="Arial"/>
      <w:kern w:val="0"/>
      <w:sz w:val="44"/>
      <w:szCs w:val="44"/>
    </w:rPr>
  </w:style>
  <w:style w:type="paragraph" w:styleId="21">
    <w:name w:val="annotation text"/>
    <w:basedOn w:val="1"/>
    <w:link w:val="77"/>
    <w:autoRedefine/>
    <w:semiHidden/>
    <w:qFormat/>
    <w:uiPriority w:val="99"/>
    <w:pPr>
      <w:jc w:val="left"/>
    </w:pPr>
    <w:rPr>
      <w:kern w:val="0"/>
      <w:sz w:val="20"/>
      <w:szCs w:val="20"/>
    </w:rPr>
  </w:style>
  <w:style w:type="paragraph" w:styleId="22">
    <w:name w:val="Body Text Indent"/>
    <w:basedOn w:val="1"/>
    <w:next w:val="23"/>
    <w:link w:val="79"/>
    <w:qFormat/>
    <w:uiPriority w:val="99"/>
    <w:pPr>
      <w:spacing w:after="120"/>
      <w:ind w:left="420" w:leftChars="200"/>
    </w:pPr>
    <w:rPr>
      <w:kern w:val="0"/>
      <w:sz w:val="20"/>
      <w:szCs w:val="20"/>
    </w:rPr>
  </w:style>
  <w:style w:type="paragraph" w:styleId="23">
    <w:name w:val="envelope return"/>
    <w:basedOn w:val="1"/>
    <w:autoRedefine/>
    <w:unhideWhenUsed/>
    <w:qFormat/>
    <w:locked/>
    <w:uiPriority w:val="99"/>
    <w:pPr>
      <w:snapToGrid w:val="0"/>
    </w:pPr>
    <w:rPr>
      <w:rFonts w:ascii="Arial" w:hAnsi="Arial"/>
    </w:rPr>
  </w:style>
  <w:style w:type="paragraph" w:styleId="24">
    <w:name w:val="List 2"/>
    <w:basedOn w:val="1"/>
    <w:autoRedefine/>
    <w:qFormat/>
    <w:uiPriority w:val="99"/>
    <w:pPr>
      <w:ind w:left="100" w:leftChars="200" w:hanging="200" w:hangingChars="200"/>
    </w:pPr>
  </w:style>
  <w:style w:type="paragraph" w:styleId="25">
    <w:name w:val="List Continue"/>
    <w:basedOn w:val="1"/>
    <w:autoRedefine/>
    <w:qFormat/>
    <w:uiPriority w:val="99"/>
    <w:pPr>
      <w:spacing w:after="120"/>
      <w:ind w:left="420" w:leftChars="200"/>
    </w:pPr>
  </w:style>
  <w:style w:type="paragraph" w:styleId="26">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7">
    <w:name w:val="toc 5"/>
    <w:basedOn w:val="1"/>
    <w:next w:val="1"/>
    <w:autoRedefine/>
    <w:semiHidden/>
    <w:qFormat/>
    <w:uiPriority w:val="99"/>
    <w:pPr>
      <w:ind w:left="840"/>
      <w:jc w:val="left"/>
    </w:pPr>
    <w:rPr>
      <w:sz w:val="18"/>
      <w:szCs w:val="18"/>
    </w:rPr>
  </w:style>
  <w:style w:type="paragraph" w:styleId="28">
    <w:name w:val="toc 3"/>
    <w:basedOn w:val="1"/>
    <w:next w:val="1"/>
    <w:semiHidden/>
    <w:qFormat/>
    <w:uiPriority w:val="99"/>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29">
    <w:name w:val="toc 8"/>
    <w:basedOn w:val="1"/>
    <w:next w:val="1"/>
    <w:semiHidden/>
    <w:qFormat/>
    <w:uiPriority w:val="99"/>
    <w:pPr>
      <w:ind w:left="1470"/>
      <w:jc w:val="left"/>
    </w:pPr>
    <w:rPr>
      <w:sz w:val="18"/>
      <w:szCs w:val="18"/>
    </w:rPr>
  </w:style>
  <w:style w:type="paragraph" w:styleId="30">
    <w:name w:val="Date"/>
    <w:basedOn w:val="1"/>
    <w:next w:val="1"/>
    <w:link w:val="81"/>
    <w:qFormat/>
    <w:uiPriority w:val="99"/>
    <w:pPr>
      <w:widowControl/>
      <w:ind w:left="100"/>
      <w:jc w:val="left"/>
    </w:pPr>
    <w:rPr>
      <w:rFonts w:ascii="宋体" w:hAnsi="宋体" w:cs="宋体"/>
      <w:kern w:val="0"/>
      <w:sz w:val="28"/>
      <w:szCs w:val="28"/>
    </w:rPr>
  </w:style>
  <w:style w:type="paragraph" w:styleId="31">
    <w:name w:val="Body Text Indent 2"/>
    <w:basedOn w:val="1"/>
    <w:link w:val="82"/>
    <w:qFormat/>
    <w:uiPriority w:val="99"/>
    <w:pPr>
      <w:spacing w:after="120" w:line="480" w:lineRule="auto"/>
      <w:ind w:left="420" w:leftChars="200"/>
    </w:pPr>
    <w:rPr>
      <w:rFonts w:ascii="Calibri" w:hAnsi="Calibri" w:cs="Calibri"/>
    </w:rPr>
  </w:style>
  <w:style w:type="paragraph" w:styleId="32">
    <w:name w:val="List Continue 5"/>
    <w:basedOn w:val="1"/>
    <w:autoRedefine/>
    <w:qFormat/>
    <w:uiPriority w:val="99"/>
    <w:pPr>
      <w:spacing w:after="120"/>
      <w:ind w:left="2100" w:leftChars="1000"/>
    </w:pPr>
  </w:style>
  <w:style w:type="paragraph" w:styleId="33">
    <w:name w:val="Balloon Text"/>
    <w:basedOn w:val="1"/>
    <w:link w:val="83"/>
    <w:semiHidden/>
    <w:qFormat/>
    <w:uiPriority w:val="99"/>
    <w:rPr>
      <w:kern w:val="0"/>
      <w:sz w:val="18"/>
      <w:szCs w:val="18"/>
    </w:rPr>
  </w:style>
  <w:style w:type="paragraph" w:styleId="34">
    <w:name w:val="footer"/>
    <w:basedOn w:val="1"/>
    <w:link w:val="84"/>
    <w:autoRedefine/>
    <w:qFormat/>
    <w:uiPriority w:val="99"/>
    <w:pPr>
      <w:tabs>
        <w:tab w:val="center" w:pos="4153"/>
        <w:tab w:val="right" w:pos="8306"/>
      </w:tabs>
      <w:snapToGrid w:val="0"/>
      <w:jc w:val="left"/>
    </w:pPr>
    <w:rPr>
      <w:sz w:val="18"/>
      <w:szCs w:val="18"/>
    </w:rPr>
  </w:style>
  <w:style w:type="paragraph" w:styleId="35">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99"/>
    <w:pPr>
      <w:widowControl/>
      <w:tabs>
        <w:tab w:val="right" w:leader="hyphen" w:pos="9736"/>
      </w:tabs>
      <w:spacing w:after="100" w:line="276" w:lineRule="auto"/>
      <w:jc w:val="center"/>
    </w:pPr>
    <w:rPr>
      <w:rFonts w:ascii="Calibri" w:hAnsi="Calibri" w:cs="Calibri"/>
      <w:kern w:val="0"/>
      <w:sz w:val="22"/>
      <w:szCs w:val="22"/>
    </w:rPr>
  </w:style>
  <w:style w:type="paragraph" w:styleId="37">
    <w:name w:val="List Continue 4"/>
    <w:basedOn w:val="1"/>
    <w:autoRedefine/>
    <w:qFormat/>
    <w:uiPriority w:val="99"/>
    <w:pPr>
      <w:spacing w:after="120"/>
      <w:ind w:left="1680" w:leftChars="800"/>
    </w:pPr>
  </w:style>
  <w:style w:type="paragraph" w:styleId="38">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9">
    <w:name w:val="List"/>
    <w:basedOn w:val="1"/>
    <w:qFormat/>
    <w:uiPriority w:val="99"/>
    <w:pPr>
      <w:ind w:left="200" w:hanging="200" w:hangingChars="200"/>
    </w:pPr>
  </w:style>
  <w:style w:type="paragraph" w:styleId="40">
    <w:name w:val="footnote text"/>
    <w:basedOn w:val="1"/>
    <w:link w:val="86"/>
    <w:autoRedefine/>
    <w:semiHidden/>
    <w:qFormat/>
    <w:uiPriority w:val="99"/>
    <w:pPr>
      <w:snapToGrid w:val="0"/>
      <w:jc w:val="left"/>
    </w:pPr>
    <w:rPr>
      <w:rFonts w:ascii="Calibri" w:hAnsi="Calibri" w:cs="Calibri"/>
      <w:kern w:val="0"/>
      <w:sz w:val="18"/>
      <w:szCs w:val="18"/>
    </w:rPr>
  </w:style>
  <w:style w:type="paragraph" w:styleId="41">
    <w:name w:val="toc 6"/>
    <w:basedOn w:val="1"/>
    <w:next w:val="1"/>
    <w:semiHidden/>
    <w:qFormat/>
    <w:uiPriority w:val="99"/>
    <w:pPr>
      <w:ind w:left="1050"/>
      <w:jc w:val="left"/>
    </w:pPr>
    <w:rPr>
      <w:sz w:val="18"/>
      <w:szCs w:val="18"/>
    </w:rPr>
  </w:style>
  <w:style w:type="paragraph" w:styleId="42">
    <w:name w:val="List 5"/>
    <w:basedOn w:val="1"/>
    <w:autoRedefine/>
    <w:qFormat/>
    <w:uiPriority w:val="99"/>
    <w:pPr>
      <w:ind w:left="100" w:leftChars="800" w:hanging="200" w:hangingChars="200"/>
    </w:pPr>
  </w:style>
  <w:style w:type="paragraph" w:styleId="43">
    <w:name w:val="Body Text Indent 3"/>
    <w:basedOn w:val="1"/>
    <w:link w:val="87"/>
    <w:autoRedefine/>
    <w:qFormat/>
    <w:uiPriority w:val="99"/>
    <w:pPr>
      <w:ind w:firstLine="435"/>
    </w:pPr>
    <w:rPr>
      <w:rFonts w:ascii="仿宋_GB2312" w:hAnsi="宋体" w:eastAsia="仿宋_GB2312" w:cs="仿宋_GB2312"/>
      <w:sz w:val="28"/>
      <w:szCs w:val="28"/>
    </w:rPr>
  </w:style>
  <w:style w:type="paragraph" w:styleId="44">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45">
    <w:name w:val="toc 9"/>
    <w:basedOn w:val="1"/>
    <w:next w:val="1"/>
    <w:autoRedefine/>
    <w:semiHidden/>
    <w:qFormat/>
    <w:uiPriority w:val="99"/>
    <w:pPr>
      <w:ind w:left="1680"/>
      <w:jc w:val="left"/>
    </w:pPr>
    <w:rPr>
      <w:sz w:val="18"/>
      <w:szCs w:val="18"/>
    </w:rPr>
  </w:style>
  <w:style w:type="paragraph" w:styleId="46">
    <w:name w:val="List 4"/>
    <w:basedOn w:val="1"/>
    <w:qFormat/>
    <w:uiPriority w:val="99"/>
    <w:pPr>
      <w:ind w:left="100" w:leftChars="600" w:hanging="200" w:hangingChars="200"/>
    </w:pPr>
  </w:style>
  <w:style w:type="paragraph" w:styleId="47">
    <w:name w:val="List Continue 2"/>
    <w:basedOn w:val="1"/>
    <w:qFormat/>
    <w:uiPriority w:val="99"/>
    <w:pPr>
      <w:spacing w:after="120"/>
      <w:ind w:left="840" w:leftChars="400"/>
    </w:pPr>
  </w:style>
  <w:style w:type="paragraph" w:styleId="48">
    <w:name w:val="HTML Preformatted"/>
    <w:basedOn w:val="1"/>
    <w:link w:val="89"/>
    <w:autoRedefine/>
    <w:qFormat/>
    <w:uiPriority w:val="99"/>
    <w:rPr>
      <w:rFonts w:ascii="Courier New" w:hAnsi="Courier New" w:cs="Courier New"/>
      <w:kern w:val="0"/>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List Continue 3"/>
    <w:basedOn w:val="1"/>
    <w:autoRedefine/>
    <w:qFormat/>
    <w:uiPriority w:val="99"/>
    <w:pPr>
      <w:spacing w:after="120"/>
      <w:ind w:left="1260" w:leftChars="600"/>
    </w:pPr>
  </w:style>
  <w:style w:type="paragraph" w:styleId="51">
    <w:name w:val="annotation subject"/>
    <w:basedOn w:val="21"/>
    <w:next w:val="21"/>
    <w:link w:val="90"/>
    <w:semiHidden/>
    <w:qFormat/>
    <w:uiPriority w:val="99"/>
    <w:rPr>
      <w:b/>
      <w:bCs/>
    </w:rPr>
  </w:style>
  <w:style w:type="paragraph" w:styleId="52">
    <w:name w:val="Body Text First Indent"/>
    <w:basedOn w:val="2"/>
    <w:link w:val="91"/>
    <w:qFormat/>
    <w:uiPriority w:val="99"/>
    <w:pPr>
      <w:spacing w:line="360" w:lineRule="auto"/>
      <w:ind w:firstLine="482"/>
    </w:pPr>
    <w:rPr>
      <w:b/>
      <w:bCs/>
      <w:sz w:val="24"/>
      <w:szCs w:val="24"/>
    </w:rPr>
  </w:style>
  <w:style w:type="paragraph" w:styleId="53">
    <w:name w:val="Body Text First Indent 2"/>
    <w:basedOn w:val="22"/>
    <w:link w:val="92"/>
    <w:autoRedefine/>
    <w:qFormat/>
    <w:uiPriority w:val="99"/>
    <w:pPr>
      <w:ind w:firstLine="420" w:firstLineChars="200"/>
    </w:p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99"/>
    <w:rPr>
      <w:b/>
      <w:bCs/>
    </w:rPr>
  </w:style>
  <w:style w:type="character" w:styleId="58">
    <w:name w:val="page number"/>
    <w:basedOn w:val="56"/>
    <w:autoRedefine/>
    <w:qFormat/>
    <w:uiPriority w:val="99"/>
  </w:style>
  <w:style w:type="character" w:styleId="59">
    <w:name w:val="FollowedHyperlink"/>
    <w:basedOn w:val="56"/>
    <w:semiHidden/>
    <w:qFormat/>
    <w:uiPriority w:val="99"/>
    <w:rPr>
      <w:color w:val="800080"/>
      <w:u w:val="single"/>
    </w:rPr>
  </w:style>
  <w:style w:type="character" w:styleId="60">
    <w:name w:val="Emphasis"/>
    <w:basedOn w:val="56"/>
    <w:autoRedefine/>
    <w:qFormat/>
    <w:uiPriority w:val="99"/>
    <w:rPr>
      <w:color w:val="auto"/>
    </w:rPr>
  </w:style>
  <w:style w:type="character" w:styleId="61">
    <w:name w:val="Hyperlink"/>
    <w:basedOn w:val="56"/>
    <w:qFormat/>
    <w:uiPriority w:val="99"/>
    <w:rPr>
      <w:color w:val="auto"/>
      <w:u w:val="none"/>
    </w:rPr>
  </w:style>
  <w:style w:type="character" w:styleId="62">
    <w:name w:val="annotation reference"/>
    <w:basedOn w:val="56"/>
    <w:semiHidden/>
    <w:qFormat/>
    <w:uiPriority w:val="99"/>
    <w:rPr>
      <w:sz w:val="21"/>
      <w:szCs w:val="21"/>
    </w:rPr>
  </w:style>
  <w:style w:type="character" w:styleId="63">
    <w:name w:val="footnote reference"/>
    <w:basedOn w:val="56"/>
    <w:semiHidden/>
    <w:qFormat/>
    <w:uiPriority w:val="99"/>
    <w:rPr>
      <w:vertAlign w:val="superscript"/>
    </w:rPr>
  </w:style>
  <w:style w:type="paragraph" w:customStyle="1" w:styleId="64">
    <w:name w:val="style4"/>
    <w:basedOn w:val="1"/>
    <w:next w:val="65"/>
    <w:autoRedefine/>
    <w:qFormat/>
    <w:uiPriority w:val="0"/>
    <w:pPr>
      <w:widowControl/>
      <w:spacing w:before="280" w:after="280"/>
    </w:pPr>
    <w:rPr>
      <w:rFonts w:ascii="宋体"/>
      <w:sz w:val="18"/>
    </w:rPr>
  </w:style>
  <w:style w:type="paragraph" w:customStyle="1" w:styleId="6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首行缩进 21"/>
    <w:basedOn w:val="22"/>
    <w:unhideWhenUsed/>
    <w:qFormat/>
    <w:uiPriority w:val="99"/>
    <w:pPr>
      <w:ind w:firstLine="200" w:firstLineChars="200"/>
    </w:pPr>
  </w:style>
  <w:style w:type="character" w:customStyle="1" w:styleId="67">
    <w:name w:val="标题 1 字符"/>
    <w:basedOn w:val="56"/>
    <w:link w:val="4"/>
    <w:qFormat/>
    <w:locked/>
    <w:uiPriority w:val="99"/>
    <w:rPr>
      <w:rFonts w:ascii="Times New Roman" w:hAnsi="Times New Roman" w:eastAsia="仿宋_GB2312" w:cs="Times New Roman"/>
      <w:sz w:val="24"/>
      <w:szCs w:val="24"/>
    </w:rPr>
  </w:style>
  <w:style w:type="character" w:customStyle="1" w:styleId="68">
    <w:name w:val="标题 2 字符"/>
    <w:basedOn w:val="56"/>
    <w:link w:val="5"/>
    <w:autoRedefine/>
    <w:qFormat/>
    <w:locked/>
    <w:uiPriority w:val="99"/>
    <w:rPr>
      <w:rFonts w:ascii="Cambria" w:hAnsi="Cambria" w:eastAsia="宋体" w:cs="Cambria"/>
      <w:b/>
      <w:bCs/>
      <w:sz w:val="32"/>
      <w:szCs w:val="32"/>
    </w:rPr>
  </w:style>
  <w:style w:type="character" w:customStyle="1" w:styleId="69">
    <w:name w:val="标题 3 字符"/>
    <w:basedOn w:val="56"/>
    <w:link w:val="6"/>
    <w:qFormat/>
    <w:locked/>
    <w:uiPriority w:val="99"/>
    <w:rPr>
      <w:rFonts w:ascii="Times New Roman" w:hAnsi="Times New Roman" w:eastAsia="宋体" w:cs="Times New Roman"/>
      <w:b/>
      <w:bCs/>
      <w:sz w:val="32"/>
      <w:szCs w:val="32"/>
    </w:rPr>
  </w:style>
  <w:style w:type="character" w:customStyle="1" w:styleId="70">
    <w:name w:val="标题 4 字符"/>
    <w:basedOn w:val="56"/>
    <w:link w:val="7"/>
    <w:qFormat/>
    <w:locked/>
    <w:uiPriority w:val="99"/>
    <w:rPr>
      <w:rFonts w:ascii="Arial" w:hAnsi="Arial" w:eastAsia="黑体" w:cs="Arial"/>
      <w:b/>
      <w:bCs/>
      <w:sz w:val="20"/>
      <w:szCs w:val="20"/>
    </w:rPr>
  </w:style>
  <w:style w:type="character" w:customStyle="1" w:styleId="71">
    <w:name w:val="标题 5 字符"/>
    <w:basedOn w:val="56"/>
    <w:link w:val="10"/>
    <w:qFormat/>
    <w:locked/>
    <w:uiPriority w:val="99"/>
    <w:rPr>
      <w:rFonts w:ascii="Times New Roman" w:hAnsi="Times New Roman" w:eastAsia="宋体" w:cs="Times New Roman"/>
      <w:b/>
      <w:bCs/>
      <w:kern w:val="0"/>
      <w:sz w:val="20"/>
      <w:szCs w:val="20"/>
    </w:rPr>
  </w:style>
  <w:style w:type="character" w:customStyle="1" w:styleId="72">
    <w:name w:val="标题 6 字符"/>
    <w:basedOn w:val="56"/>
    <w:link w:val="11"/>
    <w:qFormat/>
    <w:locked/>
    <w:uiPriority w:val="99"/>
    <w:rPr>
      <w:rFonts w:ascii="Arial" w:hAnsi="Arial" w:eastAsia="黑体" w:cs="Arial"/>
      <w:b/>
      <w:bCs/>
      <w:kern w:val="0"/>
      <w:sz w:val="20"/>
      <w:szCs w:val="20"/>
    </w:rPr>
  </w:style>
  <w:style w:type="character" w:customStyle="1" w:styleId="73">
    <w:name w:val="标题 7 字符"/>
    <w:basedOn w:val="56"/>
    <w:link w:val="12"/>
    <w:qFormat/>
    <w:locked/>
    <w:uiPriority w:val="99"/>
    <w:rPr>
      <w:rFonts w:ascii="Times New Roman" w:hAnsi="Times New Roman" w:eastAsia="宋体" w:cs="Times New Roman"/>
      <w:b/>
      <w:bCs/>
      <w:sz w:val="24"/>
      <w:szCs w:val="24"/>
    </w:rPr>
  </w:style>
  <w:style w:type="character" w:customStyle="1" w:styleId="74">
    <w:name w:val="标题 8 字符"/>
    <w:basedOn w:val="56"/>
    <w:link w:val="13"/>
    <w:qFormat/>
    <w:locked/>
    <w:uiPriority w:val="99"/>
    <w:rPr>
      <w:rFonts w:ascii="Arial" w:hAnsi="Arial" w:eastAsia="黑体" w:cs="Arial"/>
      <w:kern w:val="0"/>
      <w:sz w:val="20"/>
      <w:szCs w:val="20"/>
    </w:rPr>
  </w:style>
  <w:style w:type="character" w:customStyle="1" w:styleId="75">
    <w:name w:val="标题 9 字符"/>
    <w:basedOn w:val="56"/>
    <w:link w:val="14"/>
    <w:autoRedefine/>
    <w:qFormat/>
    <w:locked/>
    <w:uiPriority w:val="99"/>
    <w:rPr>
      <w:rFonts w:ascii="Arial" w:hAnsi="Arial" w:eastAsia="黑体" w:cs="Arial"/>
      <w:kern w:val="0"/>
      <w:sz w:val="20"/>
      <w:szCs w:val="20"/>
    </w:rPr>
  </w:style>
  <w:style w:type="character" w:customStyle="1" w:styleId="76">
    <w:name w:val="文档结构图 字符"/>
    <w:basedOn w:val="56"/>
    <w:link w:val="19"/>
    <w:semiHidden/>
    <w:qFormat/>
    <w:locked/>
    <w:uiPriority w:val="99"/>
    <w:rPr>
      <w:rFonts w:ascii="宋体" w:hAnsi="Times New Roman" w:eastAsia="宋体" w:cs="宋体"/>
      <w:sz w:val="18"/>
      <w:szCs w:val="18"/>
    </w:rPr>
  </w:style>
  <w:style w:type="character" w:customStyle="1" w:styleId="77">
    <w:name w:val="批注文字 字符"/>
    <w:basedOn w:val="56"/>
    <w:link w:val="21"/>
    <w:semiHidden/>
    <w:qFormat/>
    <w:locked/>
    <w:uiPriority w:val="99"/>
    <w:rPr>
      <w:rFonts w:ascii="Times New Roman" w:hAnsi="Times New Roman" w:eastAsia="宋体" w:cs="Times New Roman"/>
      <w:sz w:val="24"/>
      <w:szCs w:val="24"/>
    </w:rPr>
  </w:style>
  <w:style w:type="character" w:customStyle="1" w:styleId="78">
    <w:name w:val="正文文本 字符"/>
    <w:basedOn w:val="56"/>
    <w:link w:val="2"/>
    <w:semiHidden/>
    <w:qFormat/>
    <w:locked/>
    <w:uiPriority w:val="99"/>
    <w:rPr>
      <w:rFonts w:ascii="Times New Roman" w:hAnsi="Times New Roman" w:eastAsia="宋体" w:cs="Times New Roman"/>
      <w:sz w:val="24"/>
      <w:szCs w:val="24"/>
    </w:rPr>
  </w:style>
  <w:style w:type="character" w:customStyle="1" w:styleId="79">
    <w:name w:val="正文文本缩进 字符"/>
    <w:basedOn w:val="56"/>
    <w:link w:val="22"/>
    <w:semiHidden/>
    <w:qFormat/>
    <w:locked/>
    <w:uiPriority w:val="99"/>
    <w:rPr>
      <w:rFonts w:ascii="Times New Roman" w:hAnsi="Times New Roman" w:eastAsia="宋体" w:cs="Times New Roman"/>
      <w:sz w:val="24"/>
      <w:szCs w:val="24"/>
    </w:rPr>
  </w:style>
  <w:style w:type="character" w:customStyle="1" w:styleId="80">
    <w:name w:val="纯文本 字符"/>
    <w:basedOn w:val="56"/>
    <w:link w:val="9"/>
    <w:semiHidden/>
    <w:qFormat/>
    <w:locked/>
    <w:uiPriority w:val="99"/>
    <w:rPr>
      <w:rFonts w:ascii="宋体" w:hAnsi="Courier New" w:eastAsia="宋体" w:cs="宋体"/>
      <w:sz w:val="21"/>
      <w:szCs w:val="21"/>
    </w:rPr>
  </w:style>
  <w:style w:type="character" w:customStyle="1" w:styleId="81">
    <w:name w:val="日期 字符"/>
    <w:basedOn w:val="56"/>
    <w:link w:val="30"/>
    <w:semiHidden/>
    <w:qFormat/>
    <w:locked/>
    <w:uiPriority w:val="99"/>
    <w:rPr>
      <w:rFonts w:ascii="Times New Roman" w:hAnsi="Times New Roman" w:eastAsia="宋体" w:cs="Times New Roman"/>
      <w:sz w:val="24"/>
      <w:szCs w:val="24"/>
    </w:rPr>
  </w:style>
  <w:style w:type="character" w:customStyle="1" w:styleId="82">
    <w:name w:val="正文文本缩进 2 字符"/>
    <w:basedOn w:val="56"/>
    <w:link w:val="31"/>
    <w:autoRedefine/>
    <w:semiHidden/>
    <w:qFormat/>
    <w:locked/>
    <w:uiPriority w:val="99"/>
    <w:rPr>
      <w:rFonts w:ascii="Times New Roman" w:hAnsi="Times New Roman" w:eastAsia="宋体" w:cs="Times New Roman"/>
      <w:sz w:val="24"/>
      <w:szCs w:val="24"/>
    </w:rPr>
  </w:style>
  <w:style w:type="character" w:customStyle="1" w:styleId="83">
    <w:name w:val="批注框文本 字符"/>
    <w:basedOn w:val="56"/>
    <w:link w:val="33"/>
    <w:semiHidden/>
    <w:qFormat/>
    <w:locked/>
    <w:uiPriority w:val="99"/>
    <w:rPr>
      <w:rFonts w:ascii="Times New Roman" w:hAnsi="Times New Roman" w:eastAsia="宋体" w:cs="Times New Roman"/>
      <w:sz w:val="18"/>
      <w:szCs w:val="18"/>
    </w:rPr>
  </w:style>
  <w:style w:type="character" w:customStyle="1" w:styleId="84">
    <w:name w:val="页脚 字符"/>
    <w:basedOn w:val="56"/>
    <w:link w:val="34"/>
    <w:qFormat/>
    <w:locked/>
    <w:uiPriority w:val="99"/>
    <w:rPr>
      <w:sz w:val="18"/>
      <w:szCs w:val="18"/>
    </w:rPr>
  </w:style>
  <w:style w:type="character" w:customStyle="1" w:styleId="85">
    <w:name w:val="页眉 字符"/>
    <w:basedOn w:val="56"/>
    <w:link w:val="35"/>
    <w:qFormat/>
    <w:locked/>
    <w:uiPriority w:val="99"/>
    <w:rPr>
      <w:sz w:val="18"/>
      <w:szCs w:val="18"/>
    </w:rPr>
  </w:style>
  <w:style w:type="character" w:customStyle="1" w:styleId="86">
    <w:name w:val="脚注文本 字符"/>
    <w:basedOn w:val="56"/>
    <w:link w:val="40"/>
    <w:semiHidden/>
    <w:qFormat/>
    <w:locked/>
    <w:uiPriority w:val="99"/>
    <w:rPr>
      <w:rFonts w:ascii="Times New Roman" w:hAnsi="Times New Roman" w:eastAsia="宋体" w:cs="Times New Roman"/>
      <w:sz w:val="18"/>
      <w:szCs w:val="18"/>
    </w:rPr>
  </w:style>
  <w:style w:type="character" w:customStyle="1" w:styleId="87">
    <w:name w:val="正文文本缩进 3 字符"/>
    <w:basedOn w:val="56"/>
    <w:link w:val="43"/>
    <w:qFormat/>
    <w:locked/>
    <w:uiPriority w:val="99"/>
    <w:rPr>
      <w:rFonts w:ascii="仿宋_GB2312" w:hAnsi="宋体" w:eastAsia="仿宋_GB2312" w:cs="仿宋_GB2312"/>
      <w:sz w:val="24"/>
      <w:szCs w:val="24"/>
    </w:rPr>
  </w:style>
  <w:style w:type="character" w:customStyle="1" w:styleId="88">
    <w:name w:val="正文文本 2 字符"/>
    <w:basedOn w:val="56"/>
    <w:link w:val="3"/>
    <w:semiHidden/>
    <w:qFormat/>
    <w:locked/>
    <w:uiPriority w:val="99"/>
    <w:rPr>
      <w:rFonts w:ascii="Times New Roman" w:hAnsi="Times New Roman" w:eastAsia="宋体" w:cs="Times New Roman"/>
      <w:sz w:val="24"/>
      <w:szCs w:val="24"/>
    </w:rPr>
  </w:style>
  <w:style w:type="character" w:customStyle="1" w:styleId="89">
    <w:name w:val="HTML 预设格式 字符"/>
    <w:basedOn w:val="56"/>
    <w:link w:val="48"/>
    <w:autoRedefine/>
    <w:semiHidden/>
    <w:qFormat/>
    <w:locked/>
    <w:uiPriority w:val="99"/>
    <w:rPr>
      <w:rFonts w:ascii="Courier New" w:hAnsi="Courier New" w:eastAsia="宋体" w:cs="Courier New"/>
      <w:sz w:val="20"/>
      <w:szCs w:val="20"/>
    </w:rPr>
  </w:style>
  <w:style w:type="character" w:customStyle="1" w:styleId="90">
    <w:name w:val="批注主题 字符"/>
    <w:basedOn w:val="77"/>
    <w:link w:val="51"/>
    <w:semiHidden/>
    <w:qFormat/>
    <w:locked/>
    <w:uiPriority w:val="99"/>
    <w:rPr>
      <w:rFonts w:ascii="Times New Roman" w:hAnsi="Times New Roman" w:eastAsia="宋体" w:cs="Times New Roman"/>
      <w:b/>
      <w:bCs/>
      <w:sz w:val="24"/>
      <w:szCs w:val="24"/>
    </w:rPr>
  </w:style>
  <w:style w:type="character" w:customStyle="1" w:styleId="91">
    <w:name w:val="正文首行缩进 字符"/>
    <w:basedOn w:val="78"/>
    <w:link w:val="52"/>
    <w:semiHidden/>
    <w:qFormat/>
    <w:locked/>
    <w:uiPriority w:val="99"/>
    <w:rPr>
      <w:rFonts w:ascii="Times New Roman" w:hAnsi="Times New Roman" w:eastAsia="宋体" w:cs="Times New Roman"/>
      <w:sz w:val="24"/>
      <w:szCs w:val="24"/>
    </w:rPr>
  </w:style>
  <w:style w:type="character" w:customStyle="1" w:styleId="92">
    <w:name w:val="正文首行缩进 2 字符"/>
    <w:basedOn w:val="79"/>
    <w:link w:val="53"/>
    <w:semiHidden/>
    <w:qFormat/>
    <w:locked/>
    <w:uiPriority w:val="99"/>
    <w:rPr>
      <w:rFonts w:ascii="Times New Roman" w:hAnsi="Times New Roman" w:eastAsia="宋体" w:cs="Times New Roman"/>
      <w:sz w:val="24"/>
      <w:szCs w:val="24"/>
    </w:rPr>
  </w:style>
  <w:style w:type="character" w:customStyle="1" w:styleId="93">
    <w:name w:val="正文文本缩进 2 Char"/>
    <w:qFormat/>
    <w:uiPriority w:val="99"/>
  </w:style>
  <w:style w:type="character" w:customStyle="1" w:styleId="94">
    <w:name w:val="脚注文本 Char"/>
    <w:qFormat/>
    <w:uiPriority w:val="99"/>
    <w:rPr>
      <w:rFonts w:ascii="Calibri" w:hAnsi="Calibri" w:cs="Calibri"/>
      <w:sz w:val="18"/>
      <w:szCs w:val="18"/>
    </w:rPr>
  </w:style>
  <w:style w:type="character" w:customStyle="1" w:styleId="95">
    <w:name w:val="批注主题 Char"/>
    <w:qFormat/>
    <w:uiPriority w:val="99"/>
    <w:rPr>
      <w:b/>
      <w:bCs/>
      <w:sz w:val="24"/>
      <w:szCs w:val="24"/>
    </w:rPr>
  </w:style>
  <w:style w:type="character" w:customStyle="1" w:styleId="96">
    <w:name w:val="纯文本 Char"/>
    <w:qFormat/>
    <w:uiPriority w:val="99"/>
    <w:rPr>
      <w:rFonts w:ascii="宋体" w:hAnsi="Courier New" w:eastAsia="宋体" w:cs="宋体"/>
    </w:rPr>
  </w:style>
  <w:style w:type="character" w:customStyle="1" w:styleId="97">
    <w:name w:val="文档结构图 Char"/>
    <w:qFormat/>
    <w:uiPriority w:val="99"/>
    <w:rPr>
      <w:rFonts w:ascii="宋体" w:cs="宋体"/>
      <w:sz w:val="18"/>
      <w:szCs w:val="18"/>
    </w:rPr>
  </w:style>
  <w:style w:type="character" w:customStyle="1" w:styleId="98">
    <w:name w:val="HTML 预设格式 Char"/>
    <w:qFormat/>
    <w:uiPriority w:val="99"/>
    <w:rPr>
      <w:rFonts w:ascii="Courier New" w:hAnsi="Courier New" w:cs="Courier New"/>
    </w:rPr>
  </w:style>
  <w:style w:type="character" w:customStyle="1" w:styleId="99">
    <w:name w:val="style1"/>
    <w:autoRedefine/>
    <w:qFormat/>
    <w:uiPriority w:val="99"/>
  </w:style>
  <w:style w:type="character" w:customStyle="1" w:styleId="100">
    <w:name w:val="日期 Char"/>
    <w:qFormat/>
    <w:uiPriority w:val="99"/>
    <w:rPr>
      <w:rFonts w:ascii="宋体" w:eastAsia="宋体" w:cs="宋体"/>
      <w:sz w:val="28"/>
      <w:szCs w:val="28"/>
    </w:rPr>
  </w:style>
  <w:style w:type="character" w:customStyle="1" w:styleId="101">
    <w:name w:val="批注框文本 Char"/>
    <w:qFormat/>
    <w:uiPriority w:val="99"/>
    <w:rPr>
      <w:sz w:val="18"/>
      <w:szCs w:val="18"/>
    </w:rPr>
  </w:style>
  <w:style w:type="character" w:customStyle="1" w:styleId="102">
    <w:name w:val="正文文本 Char"/>
    <w:qFormat/>
    <w:uiPriority w:val="99"/>
    <w:rPr>
      <w:rFonts w:eastAsia="宋体"/>
      <w:sz w:val="24"/>
      <w:szCs w:val="24"/>
    </w:rPr>
  </w:style>
  <w:style w:type="character" w:customStyle="1" w:styleId="103">
    <w:name w:val="批注文字 Char"/>
    <w:semiHidden/>
    <w:qFormat/>
    <w:uiPriority w:val="99"/>
    <w:rPr>
      <w:rFonts w:eastAsia="宋体"/>
      <w:sz w:val="24"/>
      <w:szCs w:val="24"/>
    </w:rPr>
  </w:style>
  <w:style w:type="character" w:customStyle="1" w:styleId="104">
    <w:name w:val="标题 1 Char Char"/>
    <w:qFormat/>
    <w:uiPriority w:val="99"/>
    <w:rPr>
      <w:rFonts w:eastAsia="宋体"/>
      <w:b/>
      <w:bCs/>
      <w:spacing w:val="-2"/>
      <w:sz w:val="24"/>
      <w:szCs w:val="24"/>
      <w:lang w:val="en-US" w:eastAsia="zh-CN"/>
    </w:rPr>
  </w:style>
  <w:style w:type="character" w:customStyle="1" w:styleId="105">
    <w:name w:val="正文文本 2 Char2"/>
    <w:link w:val="106"/>
    <w:qFormat/>
    <w:locked/>
    <w:uiPriority w:val="99"/>
    <w:rPr>
      <w:rFonts w:ascii="Calibri" w:hAnsi="Calibri" w:cs="Calibri"/>
      <w:sz w:val="21"/>
      <w:szCs w:val="21"/>
    </w:rPr>
  </w:style>
  <w:style w:type="paragraph" w:customStyle="1" w:styleId="106">
    <w:name w:val="正文文本 21"/>
    <w:basedOn w:val="1"/>
    <w:link w:val="105"/>
    <w:autoRedefine/>
    <w:qFormat/>
    <w:uiPriority w:val="99"/>
    <w:pPr>
      <w:spacing w:before="280" w:after="120" w:line="480" w:lineRule="auto"/>
      <w:ind w:left="420" w:hanging="420"/>
    </w:pPr>
    <w:rPr>
      <w:rFonts w:ascii="Calibri" w:hAnsi="Calibri"/>
      <w:kern w:val="0"/>
    </w:rPr>
  </w:style>
  <w:style w:type="character" w:customStyle="1" w:styleId="107">
    <w:name w:val="正文文本 2 Char"/>
    <w:qFormat/>
    <w:uiPriority w:val="99"/>
    <w:rPr>
      <w:rFonts w:ascii="宋体" w:eastAsia="宋体" w:cs="宋体"/>
      <w:sz w:val="24"/>
      <w:szCs w:val="24"/>
    </w:rPr>
  </w:style>
  <w:style w:type="character" w:customStyle="1" w:styleId="108">
    <w:name w:val="flName Char"/>
    <w:link w:val="109"/>
    <w:qFormat/>
    <w:locked/>
    <w:uiPriority w:val="99"/>
    <w:rPr>
      <w:rFonts w:ascii="Arial" w:hAnsi="Arial" w:eastAsia="黑体" w:cs="Arial"/>
      <w:sz w:val="32"/>
      <w:szCs w:val="32"/>
    </w:rPr>
  </w:style>
  <w:style w:type="paragraph" w:customStyle="1" w:styleId="109">
    <w:name w:val="flName"/>
    <w:basedOn w:val="1"/>
    <w:link w:val="108"/>
    <w:qFormat/>
    <w:uiPriority w:val="99"/>
    <w:pPr>
      <w:adjustRightInd w:val="0"/>
      <w:spacing w:before="320" w:after="160" w:line="360" w:lineRule="atLeast"/>
      <w:jc w:val="center"/>
    </w:pPr>
    <w:rPr>
      <w:rFonts w:ascii="Arial" w:hAnsi="Arial" w:eastAsia="黑体"/>
      <w:kern w:val="0"/>
      <w:sz w:val="32"/>
      <w:szCs w:val="32"/>
    </w:rPr>
  </w:style>
  <w:style w:type="character" w:customStyle="1" w:styleId="110">
    <w:name w:val="正文缩进 Char"/>
    <w:qFormat/>
    <w:uiPriority w:val="99"/>
    <w:rPr>
      <w:rFonts w:eastAsia="宋体"/>
      <w:kern w:val="2"/>
      <w:sz w:val="24"/>
      <w:szCs w:val="24"/>
      <w:lang w:val="en-US" w:eastAsia="zh-CN"/>
    </w:rPr>
  </w:style>
  <w:style w:type="character" w:customStyle="1" w:styleId="111">
    <w:name w:val="标题3 字符"/>
    <w:link w:val="112"/>
    <w:qFormat/>
    <w:locked/>
    <w:uiPriority w:val="99"/>
    <w:rPr>
      <w:rFonts w:ascii="宋体" w:eastAsia="宋体" w:cs="宋体"/>
      <w:sz w:val="28"/>
      <w:szCs w:val="28"/>
    </w:rPr>
  </w:style>
  <w:style w:type="paragraph" w:customStyle="1" w:styleId="112">
    <w:name w:val="标题3"/>
    <w:basedOn w:val="6"/>
    <w:next w:val="1"/>
    <w:link w:val="111"/>
    <w:qFormat/>
    <w:uiPriority w:val="99"/>
    <w:rPr>
      <w:rFonts w:ascii="宋体"/>
      <w:b w:val="0"/>
      <w:bCs w:val="0"/>
      <w:kern w:val="0"/>
      <w:sz w:val="28"/>
      <w:szCs w:val="28"/>
    </w:rPr>
  </w:style>
  <w:style w:type="character" w:customStyle="1" w:styleId="113">
    <w:name w:val="正文缩进 字符"/>
    <w:link w:val="8"/>
    <w:qFormat/>
    <w:locked/>
    <w:uiPriority w:val="99"/>
    <w:rPr>
      <w:rFonts w:eastAsia="宋体"/>
      <w:sz w:val="24"/>
      <w:szCs w:val="24"/>
    </w:rPr>
  </w:style>
  <w:style w:type="character" w:customStyle="1" w:styleId="114">
    <w:name w:val="Style Heading 3 + Char"/>
    <w:link w:val="115"/>
    <w:qFormat/>
    <w:locked/>
    <w:uiPriority w:val="99"/>
    <w:rPr>
      <w:b/>
      <w:bCs/>
      <w:sz w:val="28"/>
      <w:szCs w:val="28"/>
    </w:rPr>
  </w:style>
  <w:style w:type="paragraph" w:customStyle="1" w:styleId="115">
    <w:name w:val="Style Heading 3 +"/>
    <w:basedOn w:val="6"/>
    <w:link w:val="114"/>
    <w:qFormat/>
    <w:uiPriority w:val="99"/>
    <w:pPr>
      <w:spacing w:before="120" w:after="120" w:line="120" w:lineRule="atLeast"/>
    </w:pPr>
    <w:rPr>
      <w:kern w:val="0"/>
      <w:sz w:val="28"/>
      <w:szCs w:val="28"/>
    </w:rPr>
  </w:style>
  <w:style w:type="character" w:customStyle="1" w:styleId="116">
    <w:name w:val="正文文本缩进 Char"/>
    <w:qFormat/>
    <w:uiPriority w:val="99"/>
    <w:rPr>
      <w:rFonts w:eastAsia="宋体"/>
      <w:sz w:val="24"/>
      <w:szCs w:val="24"/>
    </w:rPr>
  </w:style>
  <w:style w:type="character" w:customStyle="1" w:styleId="117">
    <w:name w:val="正文缩进2格 Char"/>
    <w:qFormat/>
    <w:uiPriority w:val="0"/>
    <w:rPr>
      <w:rFonts w:ascii="仿宋_GB2312" w:hAnsi="宋体" w:eastAsia="仿宋_GB2312" w:cs="仿宋_GB2312"/>
      <w:kern w:val="2"/>
      <w:sz w:val="28"/>
      <w:szCs w:val="28"/>
      <w:lang w:val="en-US" w:eastAsia="zh-CN"/>
    </w:rPr>
  </w:style>
  <w:style w:type="character" w:customStyle="1" w:styleId="118">
    <w:name w:val="无间隔 字符"/>
    <w:link w:val="119"/>
    <w:autoRedefine/>
    <w:qFormat/>
    <w:locked/>
    <w:uiPriority w:val="99"/>
    <w:rPr>
      <w:rFonts w:ascii="Calibri" w:hAnsi="Calibri" w:cs="Calibri"/>
      <w:kern w:val="2"/>
      <w:sz w:val="22"/>
      <w:szCs w:val="22"/>
      <w:lang w:val="en-US" w:eastAsia="zh-CN" w:bidi="ar-SA"/>
    </w:rPr>
  </w:style>
  <w:style w:type="paragraph" w:customStyle="1" w:styleId="119">
    <w:name w:val="无间隔1"/>
    <w:link w:val="118"/>
    <w:qFormat/>
    <w:uiPriority w:val="99"/>
    <w:rPr>
      <w:rFonts w:ascii="Calibri" w:hAnsi="Calibri" w:eastAsia="宋体" w:cs="Calibri"/>
      <w:kern w:val="2"/>
      <w:sz w:val="22"/>
      <w:szCs w:val="22"/>
      <w:lang w:val="en-US" w:eastAsia="zh-CN" w:bidi="ar-SA"/>
    </w:rPr>
  </w:style>
  <w:style w:type="character" w:customStyle="1" w:styleId="120">
    <w:name w:val="HTML 预设格式 Char1"/>
    <w:qFormat/>
    <w:locked/>
    <w:uiPriority w:val="99"/>
    <w:rPr>
      <w:rFonts w:ascii="Courier New" w:hAnsi="Courier New" w:eastAsia="宋体" w:cs="Courier New"/>
      <w:kern w:val="0"/>
      <w:sz w:val="20"/>
      <w:szCs w:val="20"/>
    </w:rPr>
  </w:style>
  <w:style w:type="character" w:customStyle="1" w:styleId="121">
    <w:name w:val="正文首行缩进 Char"/>
    <w:qFormat/>
    <w:uiPriority w:val="99"/>
    <w:rPr>
      <w:b/>
      <w:bCs/>
      <w:sz w:val="24"/>
      <w:szCs w:val="24"/>
    </w:rPr>
  </w:style>
  <w:style w:type="character" w:customStyle="1" w:styleId="122">
    <w:name w:val="正文首行缩进 2 Char"/>
    <w:basedOn w:val="116"/>
    <w:qFormat/>
    <w:locked/>
    <w:uiPriority w:val="99"/>
    <w:rPr>
      <w:rFonts w:eastAsia="宋体"/>
      <w:sz w:val="24"/>
      <w:szCs w:val="24"/>
    </w:rPr>
  </w:style>
  <w:style w:type="character" w:customStyle="1" w:styleId="123">
    <w:name w:val="16"/>
    <w:qFormat/>
    <w:uiPriority w:val="99"/>
    <w:rPr>
      <w:rFonts w:ascii="Calibri" w:hAnsi="Calibri" w:cs="Calibri"/>
      <w:color w:val="0000FF"/>
      <w:u w:val="single"/>
    </w:rPr>
  </w:style>
  <w:style w:type="character" w:customStyle="1" w:styleId="124">
    <w:name w:val="Char Char4"/>
    <w:qFormat/>
    <w:uiPriority w:val="99"/>
    <w:rPr>
      <w:rFonts w:eastAsia="宋体"/>
      <w:kern w:val="2"/>
      <w:sz w:val="24"/>
      <w:szCs w:val="24"/>
      <w:lang w:val="en-US" w:eastAsia="zh-CN"/>
    </w:rPr>
  </w:style>
  <w:style w:type="character" w:customStyle="1" w:styleId="125">
    <w:name w:val="正文缩进2格 Char Char"/>
    <w:link w:val="126"/>
    <w:qFormat/>
    <w:locked/>
    <w:uiPriority w:val="0"/>
    <w:rPr>
      <w:rFonts w:ascii="仿宋_GB2312" w:hAnsi="宋体" w:eastAsia="仿宋_GB2312" w:cs="仿宋_GB2312"/>
      <w:sz w:val="28"/>
      <w:szCs w:val="28"/>
    </w:rPr>
  </w:style>
  <w:style w:type="paragraph" w:customStyle="1" w:styleId="126">
    <w:name w:val="正文缩进2格"/>
    <w:basedOn w:val="1"/>
    <w:link w:val="125"/>
    <w:qFormat/>
    <w:uiPriority w:val="0"/>
    <w:pPr>
      <w:spacing w:line="600" w:lineRule="exact"/>
      <w:ind w:firstLine="639" w:firstLineChars="206"/>
    </w:pPr>
    <w:rPr>
      <w:rFonts w:ascii="仿宋_GB2312" w:hAnsi="宋体" w:eastAsia="仿宋_GB2312"/>
      <w:kern w:val="0"/>
      <w:sz w:val="28"/>
      <w:szCs w:val="28"/>
    </w:rPr>
  </w:style>
  <w:style w:type="paragraph" w:customStyle="1" w:styleId="127">
    <w:name w:val="xl7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28">
    <w:name w:val="xl81"/>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82"/>
    <w:basedOn w:val="1"/>
    <w:qFormat/>
    <w:uiPriority w:val="99"/>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正文样式"/>
    <w:basedOn w:val="1"/>
    <w:qFormat/>
    <w:uiPriority w:val="99"/>
    <w:pPr>
      <w:spacing w:line="440" w:lineRule="exact"/>
      <w:ind w:firstLine="200" w:firstLineChars="200"/>
    </w:pPr>
    <w:rPr>
      <w:rFonts w:ascii="仿宋_GB2312" w:eastAsia="仿宋_GB2312" w:cs="仿宋_GB2312"/>
      <w:sz w:val="28"/>
      <w:szCs w:val="28"/>
    </w:rPr>
  </w:style>
  <w:style w:type="paragraph" w:customStyle="1" w:styleId="131">
    <w:name w:val="xl78"/>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32">
    <w:name w:val="xl99"/>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2"/>
    <w:basedOn w:val="1"/>
    <w:qFormat/>
    <w:uiPriority w:val="99"/>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34">
    <w:name w:val="xl103"/>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5">
    <w:name w:val="xl7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xl100"/>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9">
    <w:name w:val="xl105"/>
    <w:basedOn w:val="1"/>
    <w:qFormat/>
    <w:uiPriority w:val="99"/>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90"/>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141">
    <w:name w:val="p0"/>
    <w:basedOn w:val="1"/>
    <w:autoRedefine/>
    <w:qFormat/>
    <w:uiPriority w:val="99"/>
    <w:pPr>
      <w:widowControl/>
    </w:pPr>
    <w:rPr>
      <w:rFonts w:ascii="Calibri" w:hAnsi="Calibri" w:cs="Calibri"/>
      <w:kern w:val="0"/>
    </w:rPr>
  </w:style>
  <w:style w:type="paragraph" w:customStyle="1" w:styleId="142">
    <w:name w:val="xl86"/>
    <w:basedOn w:val="1"/>
    <w:qFormat/>
    <w:uiPriority w:val="99"/>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43">
    <w:name w:val="xl9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6">
    <w:name w:val="xl89"/>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7">
    <w:name w:val="列出段落1"/>
    <w:basedOn w:val="1"/>
    <w:qFormat/>
    <w:uiPriority w:val="34"/>
    <w:pPr>
      <w:ind w:firstLine="420" w:firstLineChars="200"/>
    </w:pPr>
  </w:style>
  <w:style w:type="paragraph" w:customStyle="1" w:styleId="148">
    <w:name w:val="xl98"/>
    <w:basedOn w:val="1"/>
    <w:autoRedefine/>
    <w:qFormat/>
    <w:uiPriority w:val="99"/>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85"/>
    <w:basedOn w:val="1"/>
    <w:qFormat/>
    <w:uiPriority w:val="99"/>
    <w:pPr>
      <w:widowControl/>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50">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1">
    <w:name w:val="xl80"/>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2">
    <w:name w:val="样式 标题 1 + 宋体 段前: 0 磅 段后: 0 磅 行距: 单倍行距"/>
    <w:basedOn w:val="4"/>
    <w:next w:val="1"/>
    <w:autoRedefine/>
    <w:qFormat/>
    <w:uiPriority w:val="99"/>
    <w:pPr>
      <w:keepLines/>
      <w:spacing w:beforeLines="100" w:afterLines="100"/>
    </w:pPr>
    <w:rPr>
      <w:rFonts w:ascii="仿宋_GB2312" w:hAnsi="宋体" w:cs="仿宋_GB2312"/>
      <w:b/>
      <w:bCs/>
      <w:kern w:val="44"/>
      <w:sz w:val="44"/>
      <w:szCs w:val="44"/>
    </w:rPr>
  </w:style>
  <w:style w:type="paragraph" w:customStyle="1" w:styleId="153">
    <w:name w:val="正文文字3"/>
    <w:basedOn w:val="2"/>
    <w:autoRedefine/>
    <w:qFormat/>
    <w:uiPriority w:val="99"/>
    <w:pPr>
      <w:adjustRightInd w:val="0"/>
      <w:spacing w:after="0" w:line="360" w:lineRule="atLeast"/>
      <w:ind w:left="30" w:leftChars="30" w:right="30" w:rightChars="30"/>
    </w:pPr>
  </w:style>
  <w:style w:type="paragraph" w:customStyle="1" w:styleId="154">
    <w:name w:val="TOC 标题1"/>
    <w:basedOn w:val="4"/>
    <w:next w:val="1"/>
    <w:autoRedefine/>
    <w:qFormat/>
    <w:uiPriority w:val="99"/>
    <w:pPr>
      <w:keepLines/>
      <w:widowControl/>
      <w:spacing w:before="480" w:line="276" w:lineRule="auto"/>
      <w:jc w:val="left"/>
      <w:outlineLvl w:val="9"/>
    </w:pPr>
    <w:rPr>
      <w:rFonts w:ascii="Cambria" w:hAnsi="Cambria" w:eastAsia="宋体" w:cs="Cambria"/>
      <w:b/>
      <w:bCs/>
      <w:color w:val="365F91"/>
      <w:kern w:val="0"/>
    </w:rPr>
  </w:style>
  <w:style w:type="paragraph" w:customStyle="1" w:styleId="155">
    <w:name w:val="图文"/>
    <w:basedOn w:val="1"/>
    <w:autoRedefine/>
    <w:qFormat/>
    <w:uiPriority w:val="99"/>
    <w:pPr>
      <w:adjustRightInd w:val="0"/>
      <w:snapToGrid w:val="0"/>
      <w:spacing w:after="50" w:line="360" w:lineRule="auto"/>
    </w:pPr>
    <w:rPr>
      <w:sz w:val="24"/>
      <w:szCs w:val="24"/>
    </w:rPr>
  </w:style>
  <w:style w:type="paragraph" w:customStyle="1" w:styleId="156">
    <w:name w:val="6"/>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7">
    <w:name w:val="段"/>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8">
    <w:name w:val="xl84"/>
    <w:basedOn w:val="1"/>
    <w:autoRedefine/>
    <w:qFormat/>
    <w:uiPriority w:val="99"/>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59">
    <w:name w:val="xl107"/>
    <w:basedOn w:val="1"/>
    <w:autoRedefine/>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60">
    <w:name w:val="xl65"/>
    <w:basedOn w:val="1"/>
    <w:autoRedefine/>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61">
    <w:name w:val="1"/>
    <w:basedOn w:val="1"/>
    <w:next w:val="9"/>
    <w:autoRedefine/>
    <w:qFormat/>
    <w:uiPriority w:val="99"/>
    <w:rPr>
      <w:rFonts w:ascii="宋体" w:hAnsi="Courier New" w:cs="宋体"/>
    </w:rPr>
  </w:style>
  <w:style w:type="paragraph" w:customStyle="1" w:styleId="16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63">
    <w:name w:val="xl10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104"/>
    <w:basedOn w:val="1"/>
    <w:autoRedefine/>
    <w:qFormat/>
    <w:uiPriority w:val="99"/>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5">
    <w:name w:val="xl10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6">
    <w:name w:val="xl111"/>
    <w:basedOn w:val="1"/>
    <w:autoRedefine/>
    <w:qFormat/>
    <w:uiPriority w:val="99"/>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7">
    <w:name w:val="xl91"/>
    <w:basedOn w:val="1"/>
    <w:autoRedefine/>
    <w:qFormat/>
    <w:uiPriority w:val="99"/>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94"/>
    <w:basedOn w:val="1"/>
    <w:autoRedefine/>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9">
    <w:name w:val="Char2"/>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1">
    <w:name w:val="xl96"/>
    <w:basedOn w:val="1"/>
    <w:autoRedefine/>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2">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63"/>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4">
    <w:name w:val="xl79"/>
    <w:basedOn w:val="1"/>
    <w:autoRedefine/>
    <w:qFormat/>
    <w:uiPriority w:val="99"/>
    <w:pPr>
      <w:widowControl/>
      <w:pBdr>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5">
    <w:name w:val="xl102"/>
    <w:basedOn w:val="1"/>
    <w:autoRedefine/>
    <w:qFormat/>
    <w:uiPriority w:val="99"/>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xl77"/>
    <w:basedOn w:val="1"/>
    <w:autoRedefine/>
    <w:qFormat/>
    <w:uiPriority w:val="99"/>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9">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80">
    <w:name w:val="xl97"/>
    <w:basedOn w:val="1"/>
    <w:autoRedefine/>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1">
    <w:name w:val="xl101"/>
    <w:basedOn w:val="1"/>
    <w:autoRedefine/>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2">
    <w:name w:val="列出段落11"/>
    <w:basedOn w:val="1"/>
    <w:autoRedefine/>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3">
    <w:name w:val="xl9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84">
    <w:name w:val="xl87"/>
    <w:basedOn w:val="1"/>
    <w:autoRedefine/>
    <w:qFormat/>
    <w:uiPriority w:val="99"/>
    <w:pPr>
      <w:widowControl/>
      <w:pBdr>
        <w:top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85">
    <w:name w:val="Char"/>
    <w:basedOn w:val="1"/>
    <w:autoRedefine/>
    <w:qFormat/>
    <w:uiPriority w:val="99"/>
  </w:style>
  <w:style w:type="paragraph" w:customStyle="1" w:styleId="186">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88"/>
    <w:basedOn w:val="1"/>
    <w:autoRedefine/>
    <w:qFormat/>
    <w:uiPriority w:val="99"/>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88">
    <w:name w:val="简单回函地址"/>
    <w:basedOn w:val="1"/>
    <w:autoRedefine/>
    <w:qFormat/>
    <w:uiPriority w:val="99"/>
  </w:style>
  <w:style w:type="paragraph" w:customStyle="1" w:styleId="189">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0">
    <w:name w:val="xl110"/>
    <w:basedOn w:val="1"/>
    <w:autoRedefine/>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91">
    <w:name w:val="默认段落字体 Para Char Char Char Char"/>
    <w:basedOn w:val="1"/>
    <w:autoRedefine/>
    <w:qFormat/>
    <w:uiPriority w:val="99"/>
  </w:style>
  <w:style w:type="paragraph" w:customStyle="1" w:styleId="192">
    <w:name w:val="纯文本1"/>
    <w:basedOn w:val="1"/>
    <w:autoRedefine/>
    <w:qFormat/>
    <w:uiPriority w:val="99"/>
    <w:rPr>
      <w:rFonts w:ascii="宋体" w:hAnsi="Courier New" w:eastAsia="Times New Roman" w:cs="宋体"/>
    </w:rPr>
  </w:style>
  <w:style w:type="paragraph" w:customStyle="1" w:styleId="193">
    <w:name w:val="Char Char Char1 Char"/>
    <w:basedOn w:val="1"/>
    <w:autoRedefine/>
    <w:qFormat/>
    <w:uiPriority w:val="99"/>
  </w:style>
  <w:style w:type="paragraph" w:customStyle="1" w:styleId="194">
    <w:name w:val="List Paragraph1"/>
    <w:basedOn w:val="1"/>
    <w:autoRedefine/>
    <w:qFormat/>
    <w:uiPriority w:val="34"/>
    <w:pPr>
      <w:ind w:firstLine="420" w:firstLineChars="200"/>
    </w:pPr>
    <w:rPr>
      <w:rFonts w:ascii="Calibri" w:hAnsi="Calibri" w:eastAsia="楷体_GB2312" w:cs="Calibri"/>
      <w:kern w:val="0"/>
      <w:sz w:val="20"/>
      <w:szCs w:val="20"/>
    </w:rPr>
  </w:style>
  <w:style w:type="paragraph" w:customStyle="1" w:styleId="19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6">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列出段落2"/>
    <w:basedOn w:val="1"/>
    <w:autoRedefine/>
    <w:qFormat/>
    <w:uiPriority w:val="34"/>
    <w:pPr>
      <w:ind w:firstLine="420" w:firstLineChars="200"/>
    </w:pPr>
    <w:rPr>
      <w:rFonts w:ascii="Calibri" w:hAnsi="Calibri" w:cs="Calibri"/>
    </w:rPr>
  </w:style>
  <w:style w:type="paragraph" w:customStyle="1" w:styleId="198">
    <w:name w:val="xl64"/>
    <w:basedOn w:val="1"/>
    <w:autoRedefine/>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99">
    <w:name w:val="xl109"/>
    <w:basedOn w:val="1"/>
    <w:autoRedefine/>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200">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修订1"/>
    <w:autoRedefine/>
    <w:hidden/>
    <w:qFormat/>
    <w:uiPriority w:val="99"/>
    <w:rPr>
      <w:rFonts w:ascii="Times New Roman" w:hAnsi="Times New Roman" w:eastAsia="宋体" w:cs="Times New Roman"/>
      <w:kern w:val="2"/>
      <w:sz w:val="21"/>
      <w:szCs w:val="21"/>
      <w:lang w:val="en-US" w:eastAsia="zh-CN" w:bidi="ar-SA"/>
    </w:rPr>
  </w:style>
  <w:style w:type="paragraph" w:customStyle="1" w:styleId="202">
    <w:name w:val="标准文本"/>
    <w:basedOn w:val="1"/>
    <w:link w:val="203"/>
    <w:autoRedefine/>
    <w:qFormat/>
    <w:uiPriority w:val="0"/>
    <w:pPr>
      <w:spacing w:line="360" w:lineRule="auto"/>
      <w:ind w:firstLine="480" w:firstLineChars="200"/>
    </w:pPr>
    <w:rPr>
      <w:sz w:val="24"/>
      <w:szCs w:val="20"/>
      <w:lang w:val="zh-CN"/>
    </w:rPr>
  </w:style>
  <w:style w:type="character" w:customStyle="1" w:styleId="203">
    <w:name w:val="标准文本 Char"/>
    <w:link w:val="202"/>
    <w:autoRedefine/>
    <w:qFormat/>
    <w:uiPriority w:val="0"/>
    <w:rPr>
      <w:kern w:val="2"/>
      <w:sz w:val="24"/>
      <w:lang w:val="zh-CN" w:eastAsia="zh-CN"/>
    </w:rPr>
  </w:style>
  <w:style w:type="paragraph" w:customStyle="1" w:styleId="204">
    <w:name w:val="无间隔11"/>
    <w:autoRedefine/>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205">
    <w:name w:val="文档正文首行缩进"/>
    <w:basedOn w:val="1"/>
    <w:link w:val="206"/>
    <w:autoRedefine/>
    <w:qFormat/>
    <w:uiPriority w:val="0"/>
    <w:pPr>
      <w:spacing w:line="360" w:lineRule="auto"/>
      <w:ind w:firstLine="420"/>
    </w:pPr>
    <w:rPr>
      <w:rFonts w:cs="宋体"/>
      <w:sz w:val="24"/>
      <w:szCs w:val="20"/>
    </w:rPr>
  </w:style>
  <w:style w:type="character" w:customStyle="1" w:styleId="206">
    <w:name w:val="文档正文首行缩进 Char"/>
    <w:basedOn w:val="56"/>
    <w:link w:val="205"/>
    <w:autoRedefine/>
    <w:qFormat/>
    <w:locked/>
    <w:uiPriority w:val="0"/>
    <w:rPr>
      <w:rFonts w:cs="宋体"/>
      <w:kern w:val="2"/>
      <w:sz w:val="24"/>
    </w:rPr>
  </w:style>
  <w:style w:type="paragraph" w:customStyle="1" w:styleId="207">
    <w:name w:val="文档序列"/>
    <w:basedOn w:val="1"/>
    <w:next w:val="205"/>
    <w:autoRedefine/>
    <w:qFormat/>
    <w:uiPriority w:val="0"/>
    <w:pPr>
      <w:numPr>
        <w:ilvl w:val="0"/>
        <w:numId w:val="2"/>
      </w:numPr>
      <w:spacing w:line="360" w:lineRule="auto"/>
    </w:pPr>
    <w:rPr>
      <w:sz w:val="24"/>
      <w:szCs w:val="28"/>
    </w:rPr>
  </w:style>
  <w:style w:type="paragraph" w:customStyle="1" w:styleId="208">
    <w:name w:val="首行缩进"/>
    <w:basedOn w:val="1"/>
    <w:autoRedefine/>
    <w:qFormat/>
    <w:uiPriority w:val="0"/>
    <w:pPr>
      <w:spacing w:line="360" w:lineRule="auto"/>
      <w:ind w:firstLine="480" w:firstLineChars="200"/>
      <w:jc w:val="left"/>
    </w:pPr>
    <w:rPr>
      <w:rFonts w:ascii="宋体" w:hAnsi="宋体"/>
      <w:sz w:val="24"/>
    </w:rPr>
  </w:style>
  <w:style w:type="paragraph" w:styleId="209">
    <w:name w:val="List Paragraph"/>
    <w:basedOn w:val="1"/>
    <w:autoRedefine/>
    <w:qFormat/>
    <w:uiPriority w:val="34"/>
    <w:pPr>
      <w:ind w:firstLine="420" w:firstLineChars="200"/>
    </w:pPr>
  </w:style>
  <w:style w:type="paragraph" w:customStyle="1" w:styleId="210">
    <w:name w:val="四级标题"/>
    <w:basedOn w:val="30"/>
    <w:autoRedefine/>
    <w:qFormat/>
    <w:uiPriority w:val="0"/>
    <w:pPr>
      <w:tabs>
        <w:tab w:val="left" w:pos="851"/>
      </w:tabs>
      <w:spacing w:line="360" w:lineRule="auto"/>
      <w:ind w:left="851" w:hanging="851"/>
    </w:pPr>
    <w:rPr>
      <w:rFonts w:ascii="Arial" w:hAnsi="Arial"/>
      <w:sz w:val="24"/>
    </w:rPr>
  </w:style>
  <w:style w:type="paragraph" w:customStyle="1" w:styleId="211">
    <w:name w:val="纯文本2"/>
    <w:basedOn w:val="1"/>
    <w:autoRedefine/>
    <w:qFormat/>
    <w:uiPriority w:val="0"/>
    <w:rPr>
      <w:rFonts w:ascii="宋体" w:hAnsi="Courier New"/>
      <w:sz w:val="28"/>
      <w:szCs w:val="24"/>
    </w:rPr>
  </w:style>
  <w:style w:type="paragraph" w:customStyle="1" w:styleId="21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23145</Words>
  <Characters>24600</Characters>
  <Lines>184</Lines>
  <Paragraphs>51</Paragraphs>
  <TotalTime>91</TotalTime>
  <ScaleCrop>false</ScaleCrop>
  <LinksUpToDate>false</LinksUpToDate>
  <CharactersWithSpaces>24958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2021-10-25T15:58:00Z</dcterms:created>
  <dc:creator>admin</dc:creator>
  <cp:lastModifiedBy>香蕉你个卜呐呐～</cp:lastModifiedBy>
  <cp:lastPrinted>2022-11-29T01:56:00Z</cp:lastPrinted>
  <dcterms:modified xsi:type="dcterms:W3CDTF">2024-06-19T01:24:02Z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8362DFA558C24049ACFA3A22268E0583_13</vt:lpwstr>
  </property>
</Properties>
</file>