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spacing w:line="360" w:lineRule="auto"/>
        <w:ind w:left="3855" w:hanging="3855" w:hangingChars="800"/>
        <w:rPr>
          <w:rFonts w:hint="eastAsia" w:ascii="宋体" w:hAnsi="宋体" w:cs="宋体"/>
          <w:b/>
          <w:bCs/>
          <w:sz w:val="48"/>
          <w:szCs w:val="48"/>
          <w:lang w:eastAsia="zh-CN"/>
        </w:rPr>
      </w:pPr>
    </w:p>
    <w:p>
      <w:pPr>
        <w:pStyle w:val="17"/>
        <w:spacing w:line="360" w:lineRule="auto"/>
        <w:ind w:left="3855" w:hanging="3855" w:hangingChars="800"/>
        <w:rPr>
          <w:rFonts w:hint="eastAsia" w:ascii="宋体" w:hAnsi="宋体" w:cs="宋体"/>
          <w:b/>
          <w:bCs/>
          <w:sz w:val="48"/>
          <w:szCs w:val="48"/>
          <w:lang w:eastAsia="zh-CN"/>
        </w:rPr>
      </w:pPr>
      <w:r>
        <w:rPr>
          <w:rFonts w:hint="eastAsia" w:ascii="宋体" w:hAnsi="宋体" w:cs="宋体"/>
          <w:b/>
          <w:bCs/>
          <w:sz w:val="48"/>
          <w:szCs w:val="48"/>
          <w:lang w:eastAsia="zh-CN"/>
        </w:rPr>
        <w:t>南通市妇幼保健院污水处理站社会化运维</w:t>
      </w:r>
    </w:p>
    <w:p>
      <w:pPr>
        <w:pStyle w:val="17"/>
        <w:spacing w:line="360" w:lineRule="auto"/>
        <w:ind w:left="3840" w:leftChars="1599" w:hanging="482" w:hangingChars="100"/>
        <w:rPr>
          <w:rFonts w:hint="eastAsia" w:ascii="宋体" w:hAnsi="宋体" w:cs="宋体"/>
          <w:b/>
          <w:bCs/>
          <w:w w:val="80"/>
          <w:sz w:val="96"/>
          <w:szCs w:val="96"/>
        </w:rPr>
      </w:pPr>
      <w:r>
        <w:rPr>
          <w:rFonts w:hint="eastAsia" w:ascii="宋体" w:hAnsi="宋体" w:cs="宋体"/>
          <w:b/>
          <w:bCs/>
          <w:sz w:val="48"/>
          <w:szCs w:val="48"/>
          <w:lang w:eastAsia="zh-CN"/>
        </w:rPr>
        <w:t>托管项目</w:t>
      </w:r>
    </w:p>
    <w:p>
      <w:pPr>
        <w:rPr>
          <w:rFonts w:hint="eastAsia"/>
        </w:rPr>
      </w:pPr>
    </w:p>
    <w:p>
      <w:pPr>
        <w:pStyle w:val="51"/>
        <w:rPr>
          <w:rFonts w:hint="eastAsia"/>
        </w:rPr>
      </w:pPr>
    </w:p>
    <w:p>
      <w:pPr>
        <w:pStyle w:val="40"/>
        <w:rPr>
          <w:rFonts w:hint="eastAsia"/>
        </w:rPr>
      </w:pPr>
    </w:p>
    <w:p>
      <w:pPr>
        <w:pStyle w:val="40"/>
        <w:rPr>
          <w:rFonts w:hint="eastAsia"/>
        </w:rPr>
      </w:pPr>
    </w:p>
    <w:p>
      <w:pPr>
        <w:pStyle w:val="40"/>
        <w:rPr>
          <w:rFonts w:hint="eastAsia"/>
        </w:rPr>
      </w:pPr>
    </w:p>
    <w:p>
      <w:pPr>
        <w:pStyle w:val="40"/>
        <w:rPr>
          <w:rFonts w:hint="eastAsia"/>
        </w:rPr>
      </w:pPr>
    </w:p>
    <w:p>
      <w:pPr>
        <w:rPr>
          <w:rFonts w:hint="eastAsia"/>
        </w:rPr>
      </w:pPr>
    </w:p>
    <w:p>
      <w:pPr>
        <w:rPr>
          <w:rFonts w:hint="eastAsia"/>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51"/>
        <w:rPr>
          <w:rFonts w:hint="eastAsia"/>
        </w:rPr>
      </w:pPr>
    </w:p>
    <w:p>
      <w:pPr>
        <w:pStyle w:val="17"/>
      </w:pPr>
    </w:p>
    <w:p/>
    <w:p>
      <w:pPr>
        <w:snapToGrid w:val="0"/>
        <w:spacing w:line="360" w:lineRule="auto"/>
        <w:jc w:val="center"/>
        <w:rPr>
          <w:sz w:val="32"/>
          <w:szCs w:val="32"/>
        </w:rPr>
      </w:pPr>
    </w:p>
    <w:p>
      <w:pPr>
        <w:spacing w:line="360" w:lineRule="auto"/>
        <w:jc w:val="center"/>
        <w:rPr>
          <w:rFonts w:ascii="宋体"/>
          <w:b/>
          <w:bCs/>
          <w:sz w:val="44"/>
          <w:szCs w:val="44"/>
        </w:rPr>
      </w:pPr>
    </w:p>
    <w:p>
      <w:pPr>
        <w:pStyle w:val="51"/>
        <w:ind w:firstLine="0" w:firstLineChars="0"/>
        <w:rPr>
          <w:rFonts w:hint="eastAsia"/>
        </w:rPr>
      </w:pPr>
    </w:p>
    <w:p>
      <w:pPr>
        <w:pStyle w:val="51"/>
        <w:ind w:firstLine="0" w:firstLineChars="0"/>
        <w:rPr>
          <w:rFonts w:hint="eastAsia"/>
        </w:rPr>
      </w:pPr>
    </w:p>
    <w:p>
      <w:pPr>
        <w:pStyle w:val="51"/>
        <w:ind w:firstLine="0" w:firstLineChars="0"/>
        <w:rPr>
          <w:rFonts w:hint="eastAsia"/>
        </w:rPr>
      </w:pPr>
    </w:p>
    <w:p>
      <w:pPr>
        <w:pStyle w:val="51"/>
        <w:ind w:firstLine="0" w:firstLineChars="0"/>
        <w:rPr>
          <w:rFonts w:hint="eastAsia"/>
        </w:rPr>
      </w:pPr>
    </w:p>
    <w:p>
      <w:pPr>
        <w:pStyle w:val="51"/>
        <w:rPr>
          <w:rFonts w:hint="eastAsia"/>
        </w:rPr>
      </w:pPr>
    </w:p>
    <w:p>
      <w:pPr>
        <w:adjustRightInd w:val="0"/>
        <w:snapToGrid w:val="0"/>
        <w:spacing w:line="360" w:lineRule="auto"/>
        <w:ind w:firstLine="1205" w:firstLineChars="400"/>
        <w:jc w:val="left"/>
        <w:rPr>
          <w:rFonts w:hint="eastAsia" w:ascii="宋体" w:hAnsi="宋体" w:cs="宋体"/>
          <w:b/>
          <w:bCs/>
          <w:sz w:val="30"/>
          <w:szCs w:val="30"/>
        </w:rPr>
      </w:pPr>
      <w:bookmarkStart w:id="0" w:name="_Toc11554638"/>
      <w:bookmarkStart w:id="1" w:name="_Toc11499583"/>
      <w:bookmarkStart w:id="2" w:name="_Toc521203417"/>
      <w:bookmarkStart w:id="3" w:name="_Toc521201596"/>
      <w:bookmarkStart w:id="4" w:name="_Toc94544827"/>
      <w:bookmarkStart w:id="5" w:name="_Toc94544743"/>
      <w:bookmarkStart w:id="6" w:name="_Toc8895738"/>
      <w:bookmarkStart w:id="7" w:name="_Toc11500279"/>
      <w:bookmarkStart w:id="8" w:name="_Toc94585339"/>
      <w:bookmarkStart w:id="9" w:name="_Toc12670502"/>
      <w:r>
        <w:rPr>
          <w:rFonts w:hint="eastAsia" w:ascii="宋体" w:hAnsi="宋体" w:cs="宋体"/>
          <w:b/>
          <w:bCs/>
          <w:sz w:val="30"/>
          <w:szCs w:val="30"/>
        </w:rPr>
        <w:t>采购单位：南通市妇幼保健院</w:t>
      </w:r>
    </w:p>
    <w:p>
      <w:pPr>
        <w:adjustRightInd w:val="0"/>
        <w:snapToGrid w:val="0"/>
        <w:spacing w:line="360" w:lineRule="auto"/>
        <w:ind w:firstLine="1205" w:firstLineChars="4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ind w:firstLine="2108" w:firstLineChars="700"/>
        <w:jc w:val="both"/>
        <w:rPr>
          <w:rFonts w:ascii="宋体" w:hAnsi="宋体" w:cs="宋体"/>
          <w:b/>
          <w:bCs/>
          <w:w w:val="80"/>
          <w:sz w:val="52"/>
          <w:szCs w:val="52"/>
        </w:rPr>
      </w:pPr>
      <w:r>
        <w:rPr>
          <w:rFonts w:hint="eastAsia" w:ascii="宋体" w:hAnsi="宋体" w:cs="宋体"/>
          <w:b/>
          <w:bCs/>
          <w:sz w:val="30"/>
          <w:szCs w:val="30"/>
        </w:rPr>
        <w:t>二〇二</w:t>
      </w:r>
      <w:r>
        <w:rPr>
          <w:rFonts w:hint="eastAsia" w:ascii="宋体" w:hAnsi="宋体" w:cs="宋体"/>
          <w:b/>
          <w:bCs/>
          <w:sz w:val="30"/>
          <w:szCs w:val="30"/>
          <w:lang w:eastAsia="zh-CN"/>
        </w:rPr>
        <w:t>三</w:t>
      </w:r>
      <w:r>
        <w:rPr>
          <w:rFonts w:hint="eastAsia" w:ascii="宋体" w:hAnsi="宋体" w:cs="宋体"/>
          <w:b/>
          <w:bCs/>
          <w:sz w:val="30"/>
          <w:szCs w:val="30"/>
        </w:rPr>
        <w:t>年</w:t>
      </w:r>
      <w:r>
        <w:rPr>
          <w:rFonts w:hint="eastAsia" w:ascii="宋体" w:hAnsi="宋体" w:cs="宋体"/>
          <w:b/>
          <w:bCs/>
          <w:sz w:val="30"/>
          <w:szCs w:val="30"/>
          <w:lang w:eastAsia="zh-CN"/>
        </w:rPr>
        <w:t>六月</w:t>
      </w:r>
      <w:r>
        <w:rPr>
          <w:rFonts w:hint="eastAsia" w:ascii="宋体" w:hAnsi="宋体" w:cs="宋体"/>
          <w:b/>
          <w:bCs/>
          <w:sz w:val="30"/>
          <w:szCs w:val="30"/>
          <w:lang w:val="en-US" w:eastAsia="zh-CN"/>
        </w:rPr>
        <w:t>十二</w:t>
      </w:r>
      <w:r>
        <w:rPr>
          <w:rFonts w:hint="eastAsia" w:ascii="宋体" w:hAnsi="宋体" w:cs="宋体"/>
          <w:b/>
          <w:bCs/>
          <w:sz w:val="30"/>
          <w:szCs w:val="30"/>
          <w:lang w:eastAsia="zh-CN"/>
        </w:rPr>
        <w:t>日</w:t>
      </w:r>
      <w:r>
        <w:rPr>
          <w:rFonts w:hint="eastAsia" w:ascii="宋体" w:hAnsi="宋体" w:cs="宋体"/>
          <w:b/>
          <w:bCs/>
          <w:sz w:val="30"/>
          <w:szCs w:val="30"/>
        </w:rPr>
        <w:t xml:space="preserve">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4"/>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南通市妇幼保健院污水处理站社会化运维托管项目</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2023年6月</w:t>
      </w:r>
      <w:r>
        <w:rPr>
          <w:rFonts w:hint="eastAsia" w:ascii="宋体" w:hAnsi="宋体" w:cs="宋体"/>
          <w:b/>
          <w:bCs/>
          <w:color w:val="auto"/>
          <w:sz w:val="24"/>
          <w:szCs w:val="24"/>
          <w:u w:val="single" w:color="000000"/>
          <w:lang w:val="en-US" w:eastAsia="zh-CN"/>
        </w:rPr>
        <w:t>21</w:t>
      </w:r>
      <w:r>
        <w:rPr>
          <w:rFonts w:hint="eastAsia" w:ascii="宋体" w:hAnsi="宋体" w:cs="宋体"/>
          <w:b/>
          <w:bCs/>
          <w:color w:val="auto"/>
          <w:sz w:val="24"/>
          <w:szCs w:val="24"/>
          <w:u w:val="single" w:color="000000"/>
          <w:lang w:eastAsia="zh-CN"/>
        </w:rPr>
        <w:t>日14点30分</w:t>
      </w:r>
      <w:r>
        <w:rPr>
          <w:rFonts w:hint="eastAsia" w:ascii="宋体" w:hAnsi="宋体" w:cs="宋体"/>
          <w:bCs/>
          <w:color w:val="auto"/>
          <w:sz w:val="24"/>
          <w:szCs w:val="24"/>
        </w:rPr>
        <w:t>（北京</w:t>
      </w:r>
      <w:r>
        <w:rPr>
          <w:rFonts w:hint="eastAsia" w:ascii="宋体" w:hAnsi="宋体" w:cs="宋体"/>
          <w:bCs/>
          <w:sz w:val="24"/>
          <w:szCs w:val="24"/>
        </w:rPr>
        <w:t>时间）前提交响应文件</w:t>
      </w:r>
      <w:r>
        <w:rPr>
          <w:rFonts w:hint="eastAsia" w:ascii="宋体" w:hAnsi="宋体" w:cs="宋体"/>
          <w:sz w:val="24"/>
          <w:szCs w:val="24"/>
        </w:rPr>
        <w:t>。</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南通市妇幼保健院污水处理站社会化运维托管项目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37万元/年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预计自2023年 7月至2026年 7月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hint="eastAsia" w:ascii="宋体" w:hAnsi="宋体" w:cs="宋体"/>
          <w:b/>
          <w:bCs/>
          <w:sz w:val="24"/>
          <w:szCs w:val="24"/>
        </w:rPr>
      </w:pPr>
      <w:r>
        <w:rPr>
          <w:rFonts w:hint="eastAsia" w:ascii="宋体" w:hAnsi="宋体" w:cs="宋体"/>
          <w:b/>
          <w:bCs/>
          <w:sz w:val="24"/>
          <w:szCs w:val="24"/>
        </w:rPr>
        <w:t>（二）本项目的特定资格要求：5.1拟派驻的项目负责人须具有环境保护部门颁发的环境污染治理设施运营人员考试合格证书，具有项目管理经验，熟悉相关法律法规，有较强的计划组织、沟通协调及处理突发事件的能力；</w:t>
      </w:r>
    </w:p>
    <w:p>
      <w:pPr>
        <w:snapToGrid w:val="0"/>
        <w:spacing w:line="360" w:lineRule="auto"/>
        <w:ind w:firstLine="482" w:firstLineChars="200"/>
        <w:textAlignment w:val="baseline"/>
        <w:rPr>
          <w:rFonts w:hint="eastAsia" w:ascii="宋体" w:hAnsi="宋体" w:cs="宋体"/>
          <w:b/>
          <w:bCs/>
          <w:sz w:val="24"/>
          <w:szCs w:val="24"/>
        </w:rPr>
      </w:pPr>
      <w:r>
        <w:rPr>
          <w:rFonts w:hint="eastAsia" w:ascii="宋体" w:hAnsi="宋体" w:cs="宋体"/>
          <w:b/>
          <w:bCs/>
          <w:sz w:val="24"/>
          <w:szCs w:val="24"/>
        </w:rPr>
        <w:t>5.2拟派驻的项目负责人为供应商正式员工，需提供劳动合同及供应商为其缴纳的202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月的社会保险缴费清单。</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51"/>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51"/>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b/>
          <w:bCs/>
          <w:color w:val="auto"/>
          <w:sz w:val="24"/>
          <w:szCs w:val="24"/>
        </w:rPr>
      </w:pPr>
      <w:r>
        <w:rPr>
          <w:rFonts w:hint="eastAsia" w:ascii="宋体" w:hAnsi="宋体" w:cs="宋体"/>
          <w:b/>
          <w:bCs/>
          <w:color w:val="auto"/>
          <w:sz w:val="24"/>
          <w:szCs w:val="24"/>
        </w:rPr>
        <w:t>时  间：</w:t>
      </w:r>
      <w:r>
        <w:rPr>
          <w:rFonts w:hint="eastAsia" w:ascii="宋体" w:hAnsi="宋体" w:cs="宋体"/>
          <w:b/>
          <w:bCs/>
          <w:color w:val="auto"/>
          <w:sz w:val="24"/>
          <w:szCs w:val="24"/>
          <w:u w:val="single"/>
        </w:rPr>
        <w:t>自公告发布之日起</w:t>
      </w:r>
      <w:r>
        <w:rPr>
          <w:rFonts w:hint="eastAsia" w:ascii="宋体" w:hAnsi="宋体" w:cs="宋体"/>
          <w:b/>
          <w:bCs/>
          <w:color w:val="auto"/>
          <w:sz w:val="24"/>
          <w:szCs w:val="24"/>
        </w:rPr>
        <w:t>至</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3</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6</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21</w:t>
      </w:r>
      <w:r>
        <w:rPr>
          <w:rFonts w:hint="eastAsia" w:ascii="宋体" w:hAnsi="宋体" w:cs="宋体"/>
          <w:b/>
          <w:bCs/>
          <w:color w:val="auto"/>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截止时间： </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2023年6月</w:t>
      </w:r>
      <w:r>
        <w:rPr>
          <w:rFonts w:hint="eastAsia" w:ascii="宋体" w:hAnsi="宋体" w:cs="宋体"/>
          <w:b/>
          <w:bCs/>
          <w:color w:val="auto"/>
          <w:sz w:val="24"/>
          <w:szCs w:val="24"/>
          <w:u w:val="single" w:color="000000"/>
          <w:lang w:val="en-US" w:eastAsia="zh-CN"/>
        </w:rPr>
        <w:t>21</w:t>
      </w:r>
      <w:r>
        <w:rPr>
          <w:rFonts w:hint="eastAsia" w:ascii="宋体" w:hAnsi="宋体" w:cs="宋体"/>
          <w:b/>
          <w:bCs/>
          <w:color w:val="auto"/>
          <w:sz w:val="24"/>
          <w:szCs w:val="24"/>
          <w:u w:val="single" w:color="000000"/>
          <w:lang w:eastAsia="zh-CN"/>
        </w:rPr>
        <w:t>日14点30分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r>
        <w:rPr>
          <w:rFonts w:hint="eastAsia" w:ascii="宋体" w:hAnsi="宋体" w:cs="宋体"/>
          <w:color w:val="auto"/>
          <w:sz w:val="24"/>
          <w:szCs w:val="24"/>
          <w:u w:val="single"/>
          <w:lang w:eastAsia="zh-CN"/>
        </w:rPr>
        <w:t>）</w:t>
      </w:r>
    </w:p>
    <w:p>
      <w:pPr>
        <w:pStyle w:val="4"/>
        <w:snapToGrid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五、响应文件的开启</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时  间： </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2023年6月</w:t>
      </w:r>
      <w:r>
        <w:rPr>
          <w:rFonts w:hint="eastAsia" w:ascii="宋体" w:hAnsi="宋体" w:cs="宋体"/>
          <w:b/>
          <w:bCs/>
          <w:color w:val="auto"/>
          <w:sz w:val="24"/>
          <w:szCs w:val="24"/>
          <w:u w:val="single" w:color="000000"/>
          <w:lang w:val="en-US" w:eastAsia="zh-CN"/>
        </w:rPr>
        <w:t>21</w:t>
      </w:r>
      <w:r>
        <w:rPr>
          <w:rFonts w:hint="eastAsia" w:ascii="宋体" w:hAnsi="宋体" w:cs="宋体"/>
          <w:b/>
          <w:bCs/>
          <w:color w:val="auto"/>
          <w:sz w:val="24"/>
          <w:szCs w:val="24"/>
          <w:u w:val="single" w:color="000000"/>
          <w:lang w:eastAsia="zh-CN"/>
        </w:rPr>
        <w:t>日14点30分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p>
    <w:p>
      <w:pPr>
        <w:pStyle w:val="92"/>
        <w:snapToGrid w:val="0"/>
        <w:spacing w:line="360" w:lineRule="auto"/>
        <w:ind w:firstLine="482"/>
        <w:rPr>
          <w:rFonts w:hAnsi="宋体" w:cs="宋体"/>
          <w:b/>
          <w:color w:val="auto"/>
          <w:sz w:val="24"/>
          <w:szCs w:val="24"/>
        </w:rPr>
      </w:pPr>
      <w:r>
        <w:rPr>
          <w:rFonts w:hAnsi="宋体" w:cs="宋体"/>
          <w:b/>
          <w:color w:val="auto"/>
          <w:sz w:val="24"/>
          <w:szCs w:val="24"/>
        </w:rPr>
        <w:t>特别提醒：</w:t>
      </w:r>
    </w:p>
    <w:p>
      <w:pPr>
        <w:pStyle w:val="92"/>
        <w:numPr>
          <w:ilvl w:val="0"/>
          <w:numId w:val="2"/>
        </w:numPr>
        <w:snapToGrid w:val="0"/>
        <w:spacing w:line="360" w:lineRule="auto"/>
        <w:ind w:firstLine="482"/>
        <w:rPr>
          <w:rFonts w:hAnsi="宋体" w:cs="宋体"/>
          <w:b/>
          <w:color w:val="auto"/>
          <w:sz w:val="24"/>
          <w:szCs w:val="24"/>
        </w:rPr>
      </w:pPr>
      <w:r>
        <w:rPr>
          <w:rFonts w:hAnsi="宋体" w:cs="宋体"/>
          <w:b/>
          <w:color w:val="auto"/>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4"/>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w:t>
      </w:r>
      <w:r>
        <w:rPr>
          <w:rFonts w:hint="eastAsia" w:cs="宋体" w:asciiTheme="majorEastAsia" w:hAnsiTheme="majorEastAsia" w:eastAsiaTheme="majorEastAsia"/>
          <w:sz w:val="24"/>
          <w:szCs w:val="24"/>
        </w:rPr>
        <w:t xml:space="preserve">13962958761 </w:t>
      </w:r>
      <w:r>
        <w:rPr>
          <w:rFonts w:hint="eastAsia" w:ascii="宋体" w:hAnsi="宋体" w:cs="宋体"/>
          <w:sz w:val="24"/>
          <w:szCs w:val="24"/>
        </w:rPr>
        <w:t xml:space="preserve">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南通市崇川区工农路358号12层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13646287155</w:t>
      </w:r>
    </w:p>
    <w:p>
      <w:pPr>
        <w:pStyle w:val="51"/>
        <w:ind w:firstLine="480"/>
        <w:rPr>
          <w:rFonts w:hint="eastAsia" w:ascii="宋体" w:hAnsi="宋体"/>
          <w:sz w:val="24"/>
          <w:szCs w:val="24"/>
        </w:rPr>
      </w:pPr>
    </w:p>
    <w:p>
      <w:pPr>
        <w:pStyle w:val="51"/>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color w:val="auto"/>
          <w:szCs w:val="24"/>
        </w:rPr>
        <w:t xml:space="preserve">             </w:t>
      </w:r>
      <w:r>
        <w:rPr>
          <w:rFonts w:hint="eastAsia" w:ascii="宋体" w:hAnsi="宋体" w:cs="宋体"/>
          <w:color w:val="auto"/>
          <w:sz w:val="24"/>
          <w:szCs w:val="24"/>
        </w:rPr>
        <w:t>二0二</w:t>
      </w:r>
      <w:r>
        <w:rPr>
          <w:rFonts w:hint="eastAsia" w:ascii="宋体" w:hAnsi="宋体" w:cs="宋体"/>
          <w:color w:val="auto"/>
          <w:sz w:val="24"/>
          <w:szCs w:val="24"/>
          <w:lang w:eastAsia="zh-CN"/>
        </w:rPr>
        <w:t>三</w:t>
      </w:r>
      <w:r>
        <w:rPr>
          <w:rFonts w:hint="eastAsia" w:ascii="宋体" w:hAnsi="宋体" w:cs="宋体"/>
          <w:color w:val="auto"/>
          <w:sz w:val="24"/>
          <w:szCs w:val="24"/>
        </w:rPr>
        <w:t>年</w:t>
      </w:r>
      <w:r>
        <w:rPr>
          <w:rFonts w:hint="eastAsia" w:ascii="宋体" w:hAnsi="宋体" w:cs="宋体"/>
          <w:color w:val="auto"/>
          <w:sz w:val="24"/>
          <w:szCs w:val="24"/>
          <w:lang w:eastAsia="zh-CN"/>
        </w:rPr>
        <w:t>六</w:t>
      </w:r>
      <w:r>
        <w:rPr>
          <w:rFonts w:hint="eastAsia" w:ascii="宋体" w:hAnsi="宋体" w:cs="宋体"/>
          <w:color w:val="auto"/>
          <w:sz w:val="24"/>
          <w:szCs w:val="24"/>
        </w:rPr>
        <w:t>月</w:t>
      </w:r>
      <w:r>
        <w:rPr>
          <w:rFonts w:hint="eastAsia" w:ascii="宋体" w:hAnsi="宋体" w:cs="宋体"/>
          <w:color w:val="auto"/>
          <w:sz w:val="24"/>
          <w:szCs w:val="24"/>
          <w:lang w:val="en-US" w:eastAsia="zh-CN"/>
        </w:rPr>
        <w:t>十二</w:t>
      </w:r>
      <w:r>
        <w:rPr>
          <w:rFonts w:hint="eastAsia" w:ascii="宋体" w:hAnsi="宋体" w:cs="宋体"/>
          <w:color w:val="auto"/>
          <w:sz w:val="24"/>
          <w:szCs w:val="24"/>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94544744"/>
      <w:bookmarkStart w:id="12" w:name="_Toc521203418"/>
      <w:bookmarkStart w:id="13" w:name="_Toc94585340"/>
      <w:bookmarkStart w:id="14" w:name="_Toc11554639"/>
      <w:bookmarkStart w:id="15" w:name="_Toc12670503"/>
      <w:bookmarkStart w:id="16" w:name="_Toc521201597"/>
      <w:bookmarkStart w:id="17" w:name="_Toc8895739"/>
      <w:bookmarkStart w:id="18" w:name="_Toc11500280"/>
      <w:bookmarkStart w:id="19" w:name="_Toc11499584"/>
      <w:bookmarkStart w:id="20" w:name="_Toc94544828"/>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94585341"/>
      <w:bookmarkStart w:id="23" w:name="_Toc94544871"/>
      <w:bookmarkStart w:id="24" w:name="_Toc11500281"/>
      <w:bookmarkStart w:id="25" w:name="_Toc11499585"/>
      <w:bookmarkStart w:id="26" w:name="_Toc521201598"/>
      <w:bookmarkStart w:id="27" w:name="_Toc11554640"/>
      <w:bookmarkStart w:id="28" w:name="_Toc8895740"/>
      <w:bookmarkStart w:id="29" w:name="_Toc12670504"/>
      <w:bookmarkStart w:id="30" w:name="_Toc521203419"/>
      <w:bookmarkStart w:id="31" w:name="_Toc94544745"/>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51"/>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现场踏勘联系人：</w:t>
      </w:r>
      <w:r>
        <w:rPr>
          <w:rFonts w:hint="eastAsia" w:ascii="宋体" w:hAnsi="宋体" w:cs="宋体"/>
          <w:b/>
          <w:bCs/>
          <w:color w:val="000000"/>
          <w:sz w:val="24"/>
          <w:szCs w:val="24"/>
          <w:lang w:eastAsia="zh-CN"/>
        </w:rPr>
        <w:t>张主任</w:t>
      </w:r>
      <w:r>
        <w:rPr>
          <w:rFonts w:hint="eastAsia" w:ascii="宋体" w:hAnsi="宋体" w:cs="宋体"/>
          <w:b/>
          <w:bCs/>
          <w:color w:val="000000"/>
          <w:sz w:val="24"/>
          <w:szCs w:val="24"/>
        </w:rPr>
        <w:t xml:space="preserve">      联系电话：13962958761 </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left="0" w:leftChars="0" w:firstLine="470" w:firstLineChars="195"/>
        <w:outlineLvl w:val="1"/>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响应报价（以人民币计价）应包含在服务期内完成服务内容所需要的一切费用，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9</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hint="eastAsia" w:cs="宋体"/>
          <w:color w:val="auto"/>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各投标供应商须在递交磋商响应文件的同时缴纳磋商文件资料费300元。无论是否成交，该费用不予退还。</w:t>
      </w:r>
    </w:p>
    <w:p>
      <w:pPr>
        <w:snapToGrid w:val="0"/>
        <w:spacing w:line="360" w:lineRule="auto"/>
        <w:ind w:firstLine="480" w:firstLineChars="200"/>
        <w:rPr>
          <w:rFonts w:hint="eastAsia" w:cs="宋体"/>
          <w:sz w:val="24"/>
          <w:szCs w:val="24"/>
        </w:rPr>
      </w:pPr>
      <w:r>
        <w:rPr>
          <w:rFonts w:hint="eastAsia" w:cs="宋体"/>
          <w:color w:val="auto"/>
          <w:sz w:val="24"/>
          <w:szCs w:val="24"/>
        </w:rPr>
        <w:t>2、本项目采购代理费</w:t>
      </w:r>
      <w:r>
        <w:rPr>
          <w:rFonts w:hint="eastAsia" w:cs="宋体"/>
          <w:color w:val="auto"/>
          <w:sz w:val="24"/>
          <w:szCs w:val="24"/>
          <w:lang w:eastAsia="zh-CN"/>
        </w:rPr>
        <w:t>（</w:t>
      </w:r>
      <w:r>
        <w:rPr>
          <w:rFonts w:hint="eastAsia" w:cs="宋体"/>
          <w:color w:val="auto"/>
          <w:sz w:val="24"/>
          <w:szCs w:val="24"/>
          <w:lang w:val="en-US" w:eastAsia="zh-CN"/>
        </w:rPr>
        <w:t>按照国家计委[2002]1980号、发改价格[2011]534号的规定标准的40%收取，不满1200元按1200元收取）</w:t>
      </w:r>
      <w:r>
        <w:rPr>
          <w:rFonts w:hint="eastAsia" w:cs="宋体"/>
          <w:color w:val="auto"/>
          <w:sz w:val="24"/>
          <w:szCs w:val="24"/>
        </w:rPr>
        <w:t>由成交供应商承担，请参加磋商的投标供应商在成本中自行考虑。上述费用领取成交通知书前，向代理公司一次性</w:t>
      </w:r>
      <w:r>
        <w:rPr>
          <w:rFonts w:hint="eastAsia" w:cs="宋体"/>
          <w:sz w:val="24"/>
          <w:szCs w:val="24"/>
        </w:rPr>
        <w:t>缴清。</w:t>
      </w:r>
    </w:p>
    <w:p>
      <w:pPr>
        <w:snapToGrid w:val="0"/>
        <w:spacing w:line="360" w:lineRule="auto"/>
        <w:ind w:firstLine="480" w:firstLineChars="200"/>
        <w:rPr>
          <w:rFonts w:hint="eastAsia" w:cs="宋体"/>
          <w:sz w:val="24"/>
          <w:szCs w:val="24"/>
        </w:rPr>
      </w:pPr>
      <w:r>
        <w:rPr>
          <w:rFonts w:hint="eastAsia" w:cs="宋体"/>
          <w:sz w:val="24"/>
          <w:szCs w:val="24"/>
          <w:lang w:val="en-US" w:eastAsia="zh-CN"/>
        </w:rPr>
        <w:t>3</w:t>
      </w:r>
      <w:r>
        <w:rPr>
          <w:rFonts w:hint="eastAsia"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服务期限三年，合同一年一签；</w:t>
      </w:r>
      <w:r>
        <w:rPr>
          <w:rFonts w:hint="eastAsia" w:ascii="宋体" w:hAnsi="宋体" w:cs="宋体"/>
          <w:sz w:val="24"/>
          <w:szCs w:val="24"/>
        </w:rPr>
        <w:t>采购人每季度进行一次考核，考核分大于90分（含90分）的，则全额支付上季度费用，</w:t>
      </w:r>
      <w:r>
        <w:rPr>
          <w:rFonts w:hint="eastAsia" w:ascii="宋体" w:hAnsi="宋体" w:eastAsia="宋体" w:cs="宋体"/>
          <w:b w:val="0"/>
          <w:bCs/>
          <w:sz w:val="24"/>
          <w:szCs w:val="24"/>
          <w:highlight w:val="none"/>
          <w:lang w:val="en-US" w:eastAsia="zh-CN"/>
        </w:rPr>
        <w:t>低于90分的，每低1分扣相应支付费用总额的1%</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季度考核得分低于60分的，采购人有权不支付当季度费用</w:t>
      </w:r>
      <w:r>
        <w:rPr>
          <w:rFonts w:hint="eastAsia" w:ascii="宋体" w:hAnsi="宋体" w:cs="宋体"/>
          <w:sz w:val="24"/>
          <w:szCs w:val="24"/>
        </w:rPr>
        <w:t>。</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94585342"/>
      <w:bookmarkStart w:id="34" w:name="_Toc11500282"/>
      <w:bookmarkStart w:id="35" w:name="_Toc94544746"/>
      <w:bookmarkStart w:id="36" w:name="_Toc13803483"/>
      <w:bookmarkStart w:id="37" w:name="_Toc8895741"/>
      <w:bookmarkStart w:id="38" w:name="_Toc11554641"/>
      <w:bookmarkStart w:id="39" w:name="_Toc94544872"/>
      <w:bookmarkStart w:id="40" w:name="_Toc521201599"/>
      <w:bookmarkStart w:id="41" w:name="_Toc521203420"/>
      <w:bookmarkStart w:id="42" w:name="_Toc12670505"/>
      <w:bookmarkStart w:id="43" w:name="_Toc11499586"/>
      <w:bookmarkStart w:id="44" w:name="_Toc363573856"/>
      <w:r>
        <w:rPr>
          <w:rFonts w:hint="eastAsia" w:ascii="宋体" w:hAnsi="宋体" w:cs="宋体"/>
          <w:b/>
          <w:bCs/>
          <w:w w:val="80"/>
          <w:sz w:val="44"/>
          <w:szCs w:val="44"/>
        </w:rPr>
        <w:t>第三章  项目需求</w:t>
      </w:r>
    </w:p>
    <w:p>
      <w:pPr>
        <w:pStyle w:val="17"/>
      </w:pPr>
    </w:p>
    <w:p>
      <w:pPr>
        <w:pStyle w:val="116"/>
        <w:snapToGrid w:val="0"/>
        <w:spacing w:line="360" w:lineRule="auto"/>
        <w:ind w:firstLine="482"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kern w:val="0"/>
          <w:sz w:val="24"/>
          <w:szCs w:val="24"/>
          <w:lang w:val="zh-CN"/>
        </w:rPr>
        <w:t>请供应商在制作响应文件时仔细研究项目需求说明。</w:t>
      </w:r>
      <w:r>
        <w:rPr>
          <w:rFonts w:hint="eastAsia" w:asciiTheme="minorEastAsia" w:hAnsiTheme="minorEastAsia" w:eastAsiaTheme="minorEastAsia" w:cstheme="minorEastAsia"/>
          <w:kern w:val="0"/>
          <w:sz w:val="24"/>
          <w:szCs w:val="24"/>
          <w:lang w:val="zh-CN"/>
        </w:rPr>
        <w:t>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商</w:t>
      </w:r>
      <w:r>
        <w:rPr>
          <w:rFonts w:hint="eastAsia" w:asciiTheme="minorEastAsia" w:hAnsiTheme="minorEastAsia" w:eastAsiaTheme="minorEastAsia" w:cstheme="minorEastAsia"/>
          <w:sz w:val="24"/>
          <w:szCs w:val="24"/>
        </w:rPr>
        <w:t>务部分正负偏离表》和《技术部分正负偏离表》上明示，如不明示的视同完全响应</w:t>
      </w:r>
      <w:r>
        <w:rPr>
          <w:rFonts w:hint="eastAsia" w:asciiTheme="minorEastAsia" w:hAnsiTheme="minorEastAsia" w:eastAsiaTheme="minorEastAsia" w:cstheme="minorEastAsia"/>
          <w:kern w:val="0"/>
          <w:sz w:val="24"/>
          <w:szCs w:val="24"/>
          <w:lang w:val="zh-CN"/>
        </w:rPr>
        <w:t>。</w:t>
      </w:r>
    </w:p>
    <w:p>
      <w:pPr>
        <w:snapToGrid w:val="0"/>
        <w:spacing w:line="360" w:lineRule="auto"/>
        <w:ind w:firstLine="482" w:firstLineChars="200"/>
        <w:contextualSpacing/>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一、招标范围：</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1、承担污水处理站的日常管理与操作，包括：设备运行管理；保证污水处理设施的正常安全运行、污水处理工作状况记录；水质监测与自检记录；设备维护保养与</w:t>
      </w:r>
      <w:r>
        <w:rPr>
          <w:rFonts w:hint="eastAsia" w:asciiTheme="minorEastAsia" w:hAnsiTheme="minorEastAsia" w:eastAsiaTheme="minorEastAsia" w:cstheme="minorEastAsia"/>
          <w:sz w:val="24"/>
          <w:szCs w:val="24"/>
        </w:rPr>
        <w:t>数据管理</w:t>
      </w:r>
      <w:r>
        <w:rPr>
          <w:rFonts w:hint="eastAsia" w:asciiTheme="minorEastAsia" w:hAnsiTheme="minorEastAsia" w:eastAsiaTheme="minorEastAsia" w:cstheme="minorEastAsia"/>
          <w:bCs/>
          <w:sz w:val="24"/>
          <w:szCs w:val="24"/>
        </w:rPr>
        <w:t>等工作。</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2、防止污水漫溢，及时清理栅渣、飘浮物和淤泥，</w:t>
      </w:r>
      <w:r>
        <w:rPr>
          <w:rFonts w:hint="eastAsia" w:asciiTheme="minorEastAsia" w:hAnsiTheme="minorEastAsia" w:eastAsiaTheme="minorEastAsia" w:cstheme="minorEastAsia"/>
          <w:sz w:val="24"/>
          <w:szCs w:val="24"/>
        </w:rPr>
        <w:t>妥善处理好污水站的废渣、污泥的消毒、固危废处理</w:t>
      </w:r>
      <w:r>
        <w:rPr>
          <w:rFonts w:hint="eastAsia" w:asciiTheme="minorEastAsia" w:hAnsiTheme="minorEastAsia" w:eastAsiaTheme="minorEastAsia" w:cstheme="minorEastAsia"/>
          <w:bCs/>
          <w:sz w:val="24"/>
          <w:szCs w:val="24"/>
        </w:rPr>
        <w:t>等工作（不含固危废外运）。</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3、负责消毒药剂投放和贮存，保证污水处理符合国家标准。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4、接受医院、生态环境局、疾控中心、城市排水等部门的安全监督管理。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5、维持污水处理站的环境卫生等相关工作。</w:t>
      </w:r>
    </w:p>
    <w:p>
      <w:pPr>
        <w:widowControl/>
        <w:spacing w:line="360" w:lineRule="auto"/>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二、技术要求：</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u w:val="single" w:color="FF0000"/>
        </w:rPr>
      </w:pPr>
      <w:r>
        <w:rPr>
          <w:rFonts w:hint="eastAsia" w:asciiTheme="minorEastAsia" w:hAnsiTheme="minorEastAsia" w:eastAsiaTheme="minorEastAsia" w:cstheme="minorEastAsia"/>
          <w:sz w:val="24"/>
          <w:szCs w:val="24"/>
        </w:rPr>
        <w:t>1、日处理水量：</w:t>
      </w:r>
      <w:r>
        <w:rPr>
          <w:rFonts w:hint="eastAsia" w:asciiTheme="minorEastAsia" w:hAnsiTheme="minorEastAsia" w:eastAsiaTheme="minorEastAsia" w:cstheme="minorEastAsia"/>
          <w:sz w:val="24"/>
          <w:szCs w:val="24"/>
          <w:lang w:eastAsia="zh-CN"/>
        </w:rPr>
        <w:t>目前</w:t>
      </w:r>
      <w:r>
        <w:rPr>
          <w:rFonts w:hint="eastAsia" w:asciiTheme="minorEastAsia" w:hAnsiTheme="minorEastAsia" w:eastAsiaTheme="minorEastAsia" w:cstheme="minorEastAsia"/>
          <w:sz w:val="24"/>
          <w:szCs w:val="24"/>
        </w:rPr>
        <w:t>最大</w:t>
      </w:r>
      <w:r>
        <w:rPr>
          <w:rFonts w:hint="eastAsia" w:asciiTheme="minorEastAsia" w:hAnsiTheme="minorEastAsia" w:eastAsiaTheme="minorEastAsia" w:cstheme="minorEastAsia"/>
          <w:b/>
          <w:sz w:val="24"/>
          <w:szCs w:val="24"/>
        </w:rPr>
        <w:t>污水处理能力目前700立方米，后期会扩容到1100立方米</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总服务费用维持不变</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排污标准：达到《医疗机构水污染物排放标准》GB18466-2005预处理标准，《污水排入城市下水道水质标准》GB/T31962-2015和排污许可证内其他相关技术标准等，保证通过生态环境局、疾控中心、城市排水等上级主管部门的监督和检查要求。</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维和保养：保证污水处理站的环境卫生和安全运行；手动检测污水水质并作好记录；负责运营期内污水站的投药；设备的保养、维修保证设备满足运行；负责对监控设备的定标、试剂更换和台账资料等进行监管；负责对检测异常数据及时汇报并出具情况说明书，及时处理满足要求；掌握应急处理措施并予以解决。配合在线自动监测设备运维单位做好日常管理工作。</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4、日常记录及保管：应满足运营要求，记录详细完整，可随时备查。</w:t>
      </w:r>
    </w:p>
    <w:p>
      <w:pPr>
        <w:widowControl/>
        <w:spacing w:line="360" w:lineRule="auto"/>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三、其他</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1、医院将提供成交供应商设备仓库及管理用房，在服务期限内提供给成交供应商免费使用。</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2、医院承担成交供应商办公等设备正常使用情况下所产生的水电费用。</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3、水处理药剂包括片碱、次氯酸钠、PAM、葡萄糖等由院方提供。</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4、成交供应商自备工作服。</w:t>
      </w:r>
    </w:p>
    <w:p>
      <w:pPr>
        <w:widowControl/>
        <w:snapToGrid w:val="0"/>
        <w:spacing w:line="360" w:lineRule="auto"/>
        <w:ind w:firstLine="496" w:firstLineChars="206"/>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5、成交供应商的服务人员至少</w:t>
      </w:r>
      <w:r>
        <w:rPr>
          <w:rFonts w:hint="eastAsia" w:asciiTheme="minorEastAsia" w:hAnsiTheme="minorEastAsia" w:eastAsiaTheme="minorEastAsia" w:cstheme="minorEastAsia"/>
          <w:b/>
          <w:bCs w:val="0"/>
          <w:sz w:val="24"/>
          <w:szCs w:val="24"/>
          <w:lang w:val="en-US" w:eastAsia="zh-CN"/>
        </w:rPr>
        <w:t>4</w:t>
      </w:r>
      <w:r>
        <w:rPr>
          <w:rFonts w:hint="eastAsia" w:asciiTheme="minorEastAsia" w:hAnsiTheme="minorEastAsia" w:eastAsiaTheme="minorEastAsia" w:cstheme="minorEastAsia"/>
          <w:b/>
          <w:bCs w:val="0"/>
          <w:sz w:val="24"/>
          <w:szCs w:val="24"/>
        </w:rPr>
        <w:t>人，须持证上岗，年龄不超过60周岁。如有人员调整，须提前一个月书面告知，</w:t>
      </w:r>
      <w:r>
        <w:rPr>
          <w:rFonts w:hint="eastAsia" w:asciiTheme="minorEastAsia" w:hAnsiTheme="minorEastAsia" w:eastAsiaTheme="minorEastAsia" w:cstheme="minorEastAsia"/>
          <w:b/>
          <w:bCs w:val="0"/>
          <w:sz w:val="24"/>
          <w:szCs w:val="24"/>
          <w:lang w:val="en-US" w:eastAsia="zh-CN"/>
        </w:rPr>
        <w:t>变更</w:t>
      </w:r>
      <w:r>
        <w:rPr>
          <w:rFonts w:hint="eastAsia" w:asciiTheme="minorEastAsia" w:hAnsiTheme="minorEastAsia" w:eastAsiaTheme="minorEastAsia" w:cstheme="minorEastAsia"/>
          <w:b/>
          <w:bCs w:val="0"/>
          <w:sz w:val="24"/>
          <w:szCs w:val="24"/>
        </w:rPr>
        <w:t>人员资质</w:t>
      </w:r>
      <w:r>
        <w:rPr>
          <w:rFonts w:hint="eastAsia" w:asciiTheme="minorEastAsia" w:hAnsiTheme="minorEastAsia" w:eastAsiaTheme="minorEastAsia" w:cstheme="minorEastAsia"/>
          <w:b/>
          <w:bCs w:val="0"/>
          <w:sz w:val="24"/>
          <w:szCs w:val="24"/>
          <w:lang w:val="en-US" w:eastAsia="zh-CN"/>
        </w:rPr>
        <w:t>需与原人员相同</w:t>
      </w:r>
      <w:r>
        <w:rPr>
          <w:rFonts w:hint="eastAsia" w:asciiTheme="minorEastAsia" w:hAnsiTheme="minorEastAsia" w:eastAsiaTheme="minorEastAsia" w:cstheme="minorEastAsia"/>
          <w:b/>
          <w:bCs w:val="0"/>
          <w:sz w:val="24"/>
          <w:szCs w:val="24"/>
        </w:rPr>
        <w:t>。</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6、成交供应商应服从医院管理，需制定严格的工作制度、工作流程、管理制度及突发事件的应急预案。</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成交供应商严格遵守国家有关的法律、法规及行业标准，自行负责员工的所有工资、福利等；如发生工伤、疾病乃至死亡的一切责任及费用由成交供应商全部负责。成交供应商需全面落实本项目污水处理全套工艺中安全生产责任，本项目如发生安全事故（包含但不限于腐蚀、泄露、爆炸、环境污染、有限空间作业、机械伤害、坠落等等）造成的后果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8、成交供应商在服务过程中由于疏忽、过失行为给医院造成损失的，一切责任和费用由成交供应商承担。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成交供应商确保污水处理站24h*365天，污水站有人值守。如有数据异常应及时告知院方，查找原因并提交书面报告给院方，同时应及时标记，确保达标排放。如现有设施不能满足运营需及时上报医院提出整改意见。</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10、成交供应商确保污水达标排放，由于运维责任落实不到位导致不达标所产生的行政处罚（含罚款）等由成交供应商承担。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11、成交供应商负责污水站相关台账的建立、记录符合相关部分的要求。</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12、成交供应商配合采购人通过相关部分关于污水处理方面的检查。</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13、在合同期内如有服务区域发生改变，双方另行协商解决。</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14、本项目三年服务期内，国家或地方政府征收新的或额外的税收、费用以及调整最低工资标准、社保费用时，乙方支付员工工资必须按照国家相关要求做出相应调整，甲方按成交价格支付不予调整。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合同期内如有劳资纠纷、工伤处理由乙方自行处理解决，并由其按《劳动法》相关规定给予劳动者补偿，费用由乙方承担；如因乙方原因造成不良舆情，由乙方负责消除并承担由此产生的一切后果，且不得影响甲方正常工作的开展。</w:t>
      </w:r>
    </w:p>
    <w:p>
      <w:pPr>
        <w:pStyle w:val="2"/>
        <w:spacing w:line="360" w:lineRule="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16、</w:t>
      </w:r>
      <w:r>
        <w:rPr>
          <w:rFonts w:hint="eastAsia" w:asciiTheme="minorEastAsia" w:hAnsiTheme="minorEastAsia" w:eastAsiaTheme="minorEastAsia" w:cstheme="minorEastAsia"/>
          <w:b/>
          <w:bCs/>
          <w:kern w:val="2"/>
          <w:sz w:val="24"/>
          <w:szCs w:val="24"/>
          <w:lang w:val="en-US" w:eastAsia="zh-CN"/>
        </w:rPr>
        <w:t>单次维修</w:t>
      </w:r>
      <w:r>
        <w:rPr>
          <w:rFonts w:hint="eastAsia" w:asciiTheme="minorEastAsia" w:hAnsiTheme="minorEastAsia" w:eastAsiaTheme="minorEastAsia" w:cstheme="minorEastAsia"/>
          <w:b/>
          <w:bCs/>
          <w:kern w:val="2"/>
          <w:sz w:val="24"/>
          <w:szCs w:val="24"/>
        </w:rPr>
        <w:t>1000元以下零配件材料费由</w:t>
      </w:r>
      <w:r>
        <w:rPr>
          <w:rFonts w:hint="eastAsia" w:asciiTheme="minorEastAsia" w:hAnsiTheme="minorEastAsia" w:eastAsiaTheme="minorEastAsia" w:cstheme="minorEastAsia"/>
          <w:b/>
          <w:bCs/>
          <w:kern w:val="2"/>
          <w:sz w:val="24"/>
          <w:szCs w:val="24"/>
          <w:lang w:eastAsia="zh-CN"/>
        </w:rPr>
        <w:t>成交</w:t>
      </w:r>
      <w:r>
        <w:rPr>
          <w:rFonts w:hint="eastAsia" w:asciiTheme="minorEastAsia" w:hAnsiTheme="minorEastAsia" w:eastAsiaTheme="minorEastAsia" w:cstheme="minorEastAsia"/>
          <w:b/>
          <w:bCs/>
          <w:kern w:val="2"/>
          <w:sz w:val="24"/>
          <w:szCs w:val="24"/>
        </w:rPr>
        <w:t>人自行承担，1000元以下零配件包含但不限于水泵机封，水泵叶轮、水泵轴承、螺杆泵胶套、塑料阀门、机油、齿轮油、风机皮带、螺丝螺母、链条、断路器、继电器。1000元以上的由采购单位提供。</w:t>
      </w:r>
    </w:p>
    <w:p>
      <w:pPr>
        <w:widowControl/>
        <w:spacing w:line="360" w:lineRule="auto"/>
        <w:ind w:firstLine="482" w:firstLineChars="200"/>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五、考核标准与办法：</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考核标准详见《</w:t>
      </w:r>
      <w:r>
        <w:rPr>
          <w:rFonts w:hint="eastAsia" w:asciiTheme="minorEastAsia" w:hAnsiTheme="minorEastAsia" w:eastAsiaTheme="minorEastAsia" w:cstheme="minorEastAsia"/>
          <w:kern w:val="0"/>
          <w:sz w:val="24"/>
          <w:szCs w:val="24"/>
          <w:lang w:eastAsia="zh-CN"/>
        </w:rPr>
        <w:t>南通市妇幼保健院</w:t>
      </w:r>
      <w:r>
        <w:rPr>
          <w:rFonts w:hint="eastAsia" w:asciiTheme="minorEastAsia" w:hAnsiTheme="minorEastAsia" w:eastAsiaTheme="minorEastAsia" w:cstheme="minorEastAsia"/>
          <w:kern w:val="0"/>
          <w:sz w:val="24"/>
          <w:szCs w:val="24"/>
        </w:rPr>
        <w:t>污水处理运维考核表》。</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1、考核原则</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工作人员遵守医院和公司规章制度，履行工作职责，按规范进行操作。院考核小组定期及不定期抽查考核。</w:t>
      </w:r>
    </w:p>
    <w:p>
      <w:pPr>
        <w:widowControl/>
        <w:numPr>
          <w:ilvl w:val="0"/>
          <w:numId w:val="7"/>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44"/>
          <w:sz w:val="24"/>
          <w:szCs w:val="24"/>
        </w:rPr>
        <w:t xml:space="preserve"> </w:t>
      </w:r>
      <w:r>
        <w:rPr>
          <w:rFonts w:hint="eastAsia" w:asciiTheme="minorEastAsia" w:hAnsiTheme="minorEastAsia" w:eastAsiaTheme="minorEastAsia" w:cstheme="minorEastAsia"/>
          <w:sz w:val="24"/>
          <w:szCs w:val="24"/>
        </w:rPr>
        <w:t xml:space="preserve">考核办法 </w:t>
      </w:r>
    </w:p>
    <w:p>
      <w:pPr>
        <w:snapToGrid w:val="0"/>
        <w:spacing w:line="360" w:lineRule="auto"/>
        <w:ind w:firstLine="480" w:firstLineChars="200"/>
        <w:rPr>
          <w:rFonts w:hint="eastAsia" w:ascii="宋体" w:hAnsi="宋体" w:cs="宋体"/>
          <w:color w:val="auto"/>
          <w:sz w:val="24"/>
        </w:rPr>
      </w:pPr>
      <w:r>
        <w:rPr>
          <w:rFonts w:hint="eastAsia" w:asciiTheme="minorEastAsia" w:hAnsiTheme="minorEastAsia" w:eastAsiaTheme="minorEastAsia" w:cstheme="minorEastAsia"/>
          <w:bCs/>
          <w:sz w:val="24"/>
          <w:szCs w:val="24"/>
        </w:rPr>
        <w:t>（1）</w:t>
      </w:r>
      <w:r>
        <w:rPr>
          <w:rFonts w:hint="eastAsia" w:ascii="宋体" w:hAnsi="宋体" w:cs="宋体"/>
          <w:sz w:val="24"/>
          <w:szCs w:val="24"/>
        </w:rPr>
        <w:t>采购人每季度进行一次考核，考核分大于90分（含90分）的，则全额支付上季度费用，</w:t>
      </w:r>
      <w:r>
        <w:rPr>
          <w:rFonts w:hint="eastAsia" w:ascii="宋体" w:hAnsi="宋体" w:eastAsia="宋体" w:cs="宋体"/>
          <w:b w:val="0"/>
          <w:bCs/>
          <w:sz w:val="24"/>
          <w:szCs w:val="24"/>
          <w:highlight w:val="none"/>
          <w:lang w:val="en-US" w:eastAsia="zh-CN"/>
        </w:rPr>
        <w:t>低于90分的，每低1分扣相应支付费用总额的1%</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季度考核得分低于60分的，采购人有权不支付当季度费用</w:t>
      </w:r>
      <w:r>
        <w:rPr>
          <w:rFonts w:hint="eastAsia" w:ascii="宋体" w:hAnsi="宋体" w:cs="宋体"/>
          <w:sz w:val="24"/>
          <w:szCs w:val="24"/>
        </w:rPr>
        <w:t>。</w:t>
      </w:r>
    </w:p>
    <w:p>
      <w:pPr>
        <w:widowControl/>
        <w:spacing w:line="360" w:lineRule="auto"/>
        <w:ind w:left="420" w:leftChars="200"/>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）上级部门检查不合格，因运维责任而导致的事故除扣除相应罚款外，甲方有权解除合同并保留追究责任权利，乙方不得有异议。</w:t>
      </w:r>
    </w:p>
    <w:tbl>
      <w:tblPr>
        <w:tblStyle w:val="52"/>
        <w:tblW w:w="8641" w:type="dxa"/>
        <w:jc w:val="center"/>
        <w:tblLayout w:type="fixed"/>
        <w:tblCellMar>
          <w:top w:w="0" w:type="dxa"/>
          <w:left w:w="0" w:type="dxa"/>
          <w:bottom w:w="0" w:type="dxa"/>
          <w:right w:w="0" w:type="dxa"/>
        </w:tblCellMar>
      </w:tblPr>
      <w:tblGrid>
        <w:gridCol w:w="1051"/>
        <w:gridCol w:w="2912"/>
        <w:gridCol w:w="709"/>
        <w:gridCol w:w="709"/>
        <w:gridCol w:w="3260"/>
      </w:tblGrid>
      <w:tr>
        <w:tblPrEx>
          <w:tblCellMar>
            <w:top w:w="0" w:type="dxa"/>
            <w:left w:w="0" w:type="dxa"/>
            <w:bottom w:w="0" w:type="dxa"/>
            <w:right w:w="0" w:type="dxa"/>
          </w:tblCellMar>
        </w:tblPrEx>
        <w:trPr>
          <w:trHeight w:val="531" w:hRule="atLeast"/>
          <w:jc w:val="center"/>
        </w:trPr>
        <w:tc>
          <w:tcPr>
            <w:tcW w:w="864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南通市妇幼保健院</w:t>
            </w:r>
            <w:r>
              <w:rPr>
                <w:rFonts w:hint="eastAsia" w:asciiTheme="minorEastAsia" w:hAnsiTheme="minorEastAsia" w:eastAsiaTheme="minorEastAsia" w:cstheme="minorEastAsia"/>
                <w:b/>
                <w:bCs/>
                <w:kern w:val="0"/>
                <w:sz w:val="24"/>
                <w:szCs w:val="24"/>
              </w:rPr>
              <w:t>污水处理运维考核表</w:t>
            </w:r>
          </w:p>
        </w:tc>
      </w:tr>
      <w:tr>
        <w:tblPrEx>
          <w:tblCellMar>
            <w:top w:w="0" w:type="dxa"/>
            <w:left w:w="0" w:type="dxa"/>
            <w:bottom w:w="0" w:type="dxa"/>
            <w:right w:w="0" w:type="dxa"/>
          </w:tblCellMar>
        </w:tblPrEx>
        <w:trPr>
          <w:trHeight w:val="363" w:hRule="atLeast"/>
          <w:jc w:val="center"/>
        </w:trPr>
        <w:tc>
          <w:tcPr>
            <w:tcW w:w="1051"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考核内容</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考核要求</w:t>
            </w:r>
          </w:p>
        </w:tc>
        <w:tc>
          <w:tcPr>
            <w:tcW w:w="709" w:type="dxa"/>
            <w:tcBorders>
              <w:top w:val="nil"/>
              <w:left w:val="nil"/>
              <w:bottom w:val="single" w:color="auto"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709"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扣分</w:t>
            </w:r>
          </w:p>
        </w:tc>
        <w:tc>
          <w:tcPr>
            <w:tcW w:w="3260"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CellMar>
            <w:top w:w="0" w:type="dxa"/>
            <w:left w:w="0" w:type="dxa"/>
            <w:bottom w:w="0" w:type="dxa"/>
            <w:right w:w="0" w:type="dxa"/>
          </w:tblCellMar>
        </w:tblPrEx>
        <w:trPr>
          <w:trHeight w:val="559"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污水处理达标排放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480"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故障、异常处理响应及时性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24小时人员在岗在位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台账完整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设备定时检查、保养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统一着装、个人防护到位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工作区域环境卫生良好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遵守医院各项规章制度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配合完成院方其他合理安排</w:t>
            </w: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bl>
    <w:p>
      <w:pPr>
        <w:spacing w:line="460" w:lineRule="exact"/>
        <w:jc w:val="center"/>
        <w:rPr>
          <w:rFonts w:hint="eastAsia" w:ascii="宋体" w:hAnsi="宋体" w:cs="宋体"/>
          <w:b/>
          <w:bCs/>
          <w:w w:val="80"/>
          <w:sz w:val="44"/>
          <w:szCs w:val="44"/>
        </w:r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38121794"/>
      <w:bookmarkStart w:id="46" w:name="_Toc182848996"/>
      <w:bookmarkStart w:id="47" w:name="_Toc37322565"/>
      <w:bookmarkStart w:id="48" w:name="_Toc85627670"/>
      <w:bookmarkStart w:id="49" w:name="_Toc43217893"/>
      <w:bookmarkStart w:id="50" w:name="_Toc13803484"/>
      <w:bookmarkStart w:id="51" w:name="_Toc94544873"/>
      <w:bookmarkStart w:id="52" w:name="_Toc8895742"/>
      <w:bookmarkStart w:id="53" w:name="_Toc11500283"/>
      <w:bookmarkStart w:id="54" w:name="_Toc12670506"/>
      <w:bookmarkStart w:id="55" w:name="_Toc11499587"/>
      <w:bookmarkStart w:id="56" w:name="_Toc94544747"/>
      <w:bookmarkStart w:id="57" w:name="_Toc11554642"/>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30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w:t>
      </w:r>
      <w:r>
        <w:rPr>
          <w:rFonts w:hint="eastAsia" w:ascii="宋体" w:hAnsi="宋体" w:cs="宋体"/>
          <w:sz w:val="24"/>
          <w:szCs w:val="24"/>
          <w:lang w:val="en-US" w:eastAsia="zh-CN"/>
        </w:rPr>
        <w:t>70</w:t>
      </w:r>
      <w:r>
        <w:rPr>
          <w:rFonts w:hint="eastAsia" w:ascii="宋体" w:hAnsi="宋体" w:cs="宋体"/>
          <w:sz w:val="24"/>
          <w:szCs w:val="24"/>
        </w:rPr>
        <w:t>分）</w:t>
      </w:r>
    </w:p>
    <w:tbl>
      <w:tblPr>
        <w:tblStyle w:val="52"/>
        <w:tblW w:w="9977" w:type="dxa"/>
        <w:jc w:val="center"/>
        <w:tblLayout w:type="fixed"/>
        <w:tblCellMar>
          <w:top w:w="0" w:type="dxa"/>
          <w:left w:w="108" w:type="dxa"/>
          <w:bottom w:w="0" w:type="dxa"/>
          <w:right w:w="108" w:type="dxa"/>
        </w:tblCellMar>
      </w:tblPr>
      <w:tblGrid>
        <w:gridCol w:w="656"/>
        <w:gridCol w:w="1579"/>
        <w:gridCol w:w="7177"/>
        <w:gridCol w:w="565"/>
      </w:tblGrid>
      <w:tr>
        <w:tblPrEx>
          <w:tblCellMar>
            <w:top w:w="0" w:type="dxa"/>
            <w:left w:w="108" w:type="dxa"/>
            <w:bottom w:w="0" w:type="dxa"/>
            <w:right w:w="108" w:type="dxa"/>
          </w:tblCellMar>
        </w:tblPrEx>
        <w:trPr>
          <w:trHeight w:val="644"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评审内容</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评审细则</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r>
      <w:tr>
        <w:tblPrEx>
          <w:tblCellMar>
            <w:top w:w="0" w:type="dxa"/>
            <w:left w:w="108" w:type="dxa"/>
            <w:bottom w:w="0" w:type="dxa"/>
            <w:right w:w="108" w:type="dxa"/>
          </w:tblCellMar>
        </w:tblPrEx>
        <w:trPr>
          <w:trHeight w:val="1555" w:hRule="atLeast"/>
          <w:jc w:val="center"/>
        </w:trPr>
        <w:tc>
          <w:tcPr>
            <w:tcW w:w="656" w:type="dxa"/>
            <w:tcBorders>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9" w:type="dxa"/>
            <w:tcBorders>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类似业绩</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1、供应商自2020年1月1日以来（时间以合同签订时间为准），承担过生活污水站（厂）社会化托管运营业绩，每提供一个业绩得2分，最高得8分。</w:t>
            </w:r>
          </w:p>
          <w:p>
            <w:pPr>
              <w:wordWrap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2、供应商自2020年1月1日以来（时间以合同签订时间为准）承担过医疗行业污水站社会化托管运营业绩的，每提供一个得5分，最高得5分。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注：提供合同的复印件，不提供不得分。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r>
      <w:tr>
        <w:tblPrEx>
          <w:tblCellMar>
            <w:top w:w="0" w:type="dxa"/>
            <w:left w:w="108" w:type="dxa"/>
            <w:bottom w:w="0" w:type="dxa"/>
            <w:right w:w="108" w:type="dxa"/>
          </w:tblCellMar>
        </w:tblPrEx>
        <w:trPr>
          <w:trHeight w:val="162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企业综合能力</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1、供应商持有</w:t>
            </w:r>
            <w:r>
              <w:rPr>
                <w:rFonts w:hint="eastAsia" w:asciiTheme="minorEastAsia" w:hAnsiTheme="minorEastAsia" w:eastAsiaTheme="minorEastAsia" w:cstheme="minorEastAsia"/>
                <w:b/>
                <w:bCs/>
                <w:sz w:val="24"/>
                <w:szCs w:val="24"/>
              </w:rPr>
              <w:t>污染治理设施运行服务能力（生活污水处理、工业废水处理）评价二级或以上证书的得3分；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2、供应商持有环保工程专业承包贰级或以上证书的得3分；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3、供应商持有有效的环境管理体系认证的得1分；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4、供应商持有有效的质量管理体系认证得1分；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5、供应商持有有效的职业健康安全管理体系认证得1分。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提供相关证书复印件并加盖公章，未提供不得分。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r>
      <w:tr>
        <w:tblPrEx>
          <w:tblCellMar>
            <w:top w:w="0" w:type="dxa"/>
            <w:left w:w="108" w:type="dxa"/>
            <w:bottom w:w="0" w:type="dxa"/>
            <w:right w:w="108" w:type="dxa"/>
          </w:tblCellMar>
        </w:tblPrEx>
        <w:trPr>
          <w:trHeight w:val="162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运维服务</w:t>
            </w:r>
          </w:p>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1、响应文件中提供的服务质量承诺及工作职责履行承诺比较评分：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内容完整、表达清晰，方案可行性强，得10分；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内容基本完整，表达基本清晰，方案可行性一般，得4分；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未提供不得分。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2、设备巡查、每日检测检验、设备保养方案、台账记录与管理、日常运行记录方案比较评分：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工作内容细致完整、表达清晰，方案可行性强，得10分；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内容基本完整，表达基本清晰，方案可行性一般，得4分；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未提供不得分。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3、针对本次托管运行提供的注意事项和合理化建议比较评分：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建议内容贴合项目实际情况、表达清晰，方案可行性强，得10分；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内容基本完整，表达较清晰，方案可行性一般，得4分；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r>
      <w:tr>
        <w:tblPrEx>
          <w:tblCellMar>
            <w:top w:w="0" w:type="dxa"/>
            <w:left w:w="108" w:type="dxa"/>
            <w:bottom w:w="0" w:type="dxa"/>
            <w:right w:w="108" w:type="dxa"/>
          </w:tblCellMar>
        </w:tblPrEx>
        <w:trPr>
          <w:trHeight w:val="55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突发事件应急处理方案</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根据供应商针对本项目所提供突发事件应急处理方案进行综合评审：</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应急处理方案详细、合理可行的，得6分；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应急处理方案比较详细、合理的，得4分；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应急处理方案基本合理的，得2分；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应急处理方案未提供的不得分。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CellMar>
            <w:top w:w="0" w:type="dxa"/>
            <w:left w:w="108" w:type="dxa"/>
            <w:bottom w:w="0" w:type="dxa"/>
            <w:right w:w="108" w:type="dxa"/>
          </w:tblCellMar>
        </w:tblPrEx>
        <w:trPr>
          <w:trHeight w:val="55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项目人员配置</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拟派本项目组成员中：</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1、具有污水操作工证的，每有一个得2分，最多得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2、具有环境保护工程师职称的，每有1个得2分，最多得4分；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提供人员相关证书复印件及供应商为其缴纳的202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年任意一个月的社保缴纳证明。</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r>
    </w:tbl>
    <w:p>
      <w:pPr>
        <w:snapToGrid w:val="0"/>
        <w:spacing w:line="440" w:lineRule="exact"/>
        <w:ind w:firstLine="480" w:firstLineChars="200"/>
        <w:outlineLvl w:val="1"/>
        <w:rPr>
          <w:rFonts w:hint="eastAsia" w:ascii="宋体" w:hAnsi="宋体" w:cs="宋体"/>
          <w:sz w:val="24"/>
          <w:szCs w:val="24"/>
        </w:rPr>
      </w:pPr>
    </w:p>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w:t>
      </w:r>
      <w:r>
        <w:rPr>
          <w:rFonts w:hint="eastAsia" w:ascii="宋体" w:hAnsi="宋体" w:cs="宋体"/>
          <w:sz w:val="24"/>
          <w:szCs w:val="24"/>
          <w:lang w:val="en-US" w:eastAsia="zh-CN"/>
        </w:rPr>
        <w:t>30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color w:val="auto"/>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370000.00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w:t>
      </w:r>
      <w:r>
        <w:rPr>
          <w:rFonts w:hint="eastAsia" w:ascii="宋体" w:hAnsi="宋体" w:cs="宋体"/>
          <w:b/>
          <w:sz w:val="24"/>
          <w:szCs w:val="24"/>
          <w:lang w:val="en-US" w:eastAsia="zh-CN"/>
        </w:rPr>
        <w:t>30</w:t>
      </w:r>
      <w:r>
        <w:rPr>
          <w:rFonts w:hint="eastAsia" w:ascii="宋体" w:hAnsi="宋体" w:cs="宋体"/>
          <w:b/>
          <w:sz w:val="24"/>
          <w:szCs w:val="24"/>
        </w:rPr>
        <w:t>%×100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auto"/>
          <w:sz w:val="24"/>
          <w:szCs w:val="24"/>
        </w:rPr>
      </w:pPr>
      <w:bookmarkStart w:id="59" w:name="_Hlk67169510"/>
      <w:bookmarkStart w:id="60" w:name="_Toc363573858"/>
      <w:bookmarkStart w:id="61" w:name="_Toc94585343"/>
      <w:r>
        <w:rPr>
          <w:rFonts w:hint="eastAsia" w:ascii="宋体" w:hAnsi="宋体" w:cs="宋体"/>
          <w:b/>
          <w:bCs/>
          <w:color w:val="auto"/>
          <w:sz w:val="24"/>
          <w:szCs w:val="24"/>
        </w:rPr>
        <w:t>4、关于落实政府采购政策的中小微企业价格评审</w:t>
      </w:r>
      <w:bookmarkEnd w:id="59"/>
    </w:p>
    <w:p>
      <w:pPr>
        <w:snapToGrid w:val="0"/>
        <w:spacing w:line="360" w:lineRule="auto"/>
        <w:ind w:firstLine="484" w:firstLineChars="202"/>
        <w:rPr>
          <w:rFonts w:hint="eastAsia" w:ascii="宋体" w:hAnsi="宋体" w:cs="宋体"/>
          <w:color w:val="auto"/>
          <w:sz w:val="24"/>
          <w:szCs w:val="24"/>
        </w:rPr>
      </w:pPr>
      <w:bookmarkStart w:id="62"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3" w:name="_Hlk62787617"/>
      <w:r>
        <w:rPr>
          <w:rFonts w:hint="eastAsia" w:ascii="宋体" w:hAnsi="宋体" w:cs="宋体"/>
          <w:b/>
          <w:bCs/>
          <w:color w:val="auto"/>
          <w:sz w:val="24"/>
          <w:szCs w:val="24"/>
        </w:rPr>
        <w:t>中小企业</w:t>
      </w:r>
      <w:bookmarkStart w:id="64"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64"/>
      <w:r>
        <w:rPr>
          <w:rFonts w:hint="eastAsia" w:ascii="宋体" w:hAnsi="宋体" w:cs="宋体"/>
          <w:b/>
          <w:bCs/>
          <w:color w:val="auto"/>
          <w:sz w:val="24"/>
          <w:szCs w:val="24"/>
        </w:rPr>
        <w:t>的划型标准规定</w:t>
      </w:r>
      <w:bookmarkEnd w:id="63"/>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65" w:name="_Hlk67155978"/>
      <w:r>
        <w:rPr>
          <w:rFonts w:hint="eastAsia" w:ascii="宋体" w:hAnsi="宋体" w:cs="宋体"/>
          <w:color w:val="auto"/>
          <w:sz w:val="24"/>
          <w:szCs w:val="24"/>
        </w:rPr>
        <w:t>根据</w:t>
      </w:r>
      <w:bookmarkStart w:id="66" w:name="_Hlk67155505"/>
      <w:r>
        <w:rPr>
          <w:rFonts w:hint="eastAsia" w:ascii="宋体" w:hAnsi="宋体" w:cs="宋体"/>
          <w:color w:val="auto"/>
          <w:sz w:val="24"/>
          <w:szCs w:val="24"/>
        </w:rPr>
        <w:t>《政府采购促进中小企业发展管理办法》（财库﹝2020﹞46 号）</w:t>
      </w:r>
      <w:bookmarkEnd w:id="66"/>
      <w:r>
        <w:rPr>
          <w:rFonts w:hint="eastAsia" w:ascii="宋体" w:hAnsi="宋体" w:cs="宋体"/>
          <w:color w:val="auto"/>
          <w:sz w:val="24"/>
          <w:szCs w:val="24"/>
        </w:rPr>
        <w:t>的第九条规定</w:t>
      </w:r>
      <w:bookmarkEnd w:id="65"/>
      <w:r>
        <w:rPr>
          <w:rFonts w:hint="eastAsia" w:ascii="宋体" w:hAnsi="宋体" w:cs="宋体"/>
          <w:color w:val="auto"/>
          <w:sz w:val="24"/>
          <w:szCs w:val="24"/>
        </w:rPr>
        <w:t>，</w:t>
      </w:r>
      <w:bookmarkStart w:id="67" w:name="_Hlk67154819"/>
      <w:r>
        <w:rPr>
          <w:rFonts w:hint="eastAsia" w:ascii="宋体" w:hAnsi="宋体" w:cs="宋体"/>
          <w:b/>
          <w:bCs/>
          <w:color w:val="auto"/>
          <w:sz w:val="24"/>
          <w:szCs w:val="24"/>
          <w:u w:val="thick" w:color="FF0000"/>
        </w:rPr>
        <w:t>磋商供应商响应的服务是由</w:t>
      </w:r>
      <w:bookmarkStart w:id="68" w:name="_Hlk62900373"/>
      <w:r>
        <w:rPr>
          <w:rFonts w:hint="eastAsia" w:ascii="宋体" w:hAnsi="宋体" w:cs="宋体"/>
          <w:b/>
          <w:bCs/>
          <w:color w:val="auto"/>
          <w:sz w:val="24"/>
          <w:szCs w:val="24"/>
          <w:u w:val="thick" w:color="FF0000"/>
        </w:rPr>
        <w:t>小型、微型企业</w:t>
      </w:r>
      <w:bookmarkEnd w:id="67"/>
      <w:bookmarkEnd w:id="68"/>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69" w:name="_Hlk67486828"/>
      <w:r>
        <w:rPr>
          <w:rFonts w:hint="eastAsia" w:ascii="宋体" w:hAnsi="宋体" w:cs="宋体"/>
          <w:color w:val="auto"/>
          <w:sz w:val="24"/>
          <w:szCs w:val="24"/>
        </w:rPr>
        <w:t xml:space="preserve">② </w:t>
      </w:r>
      <w:bookmarkStart w:id="70" w:name="_Hlk62901453"/>
      <w:bookmarkStart w:id="71"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auto"/>
          <w:sz w:val="24"/>
          <w:szCs w:val="24"/>
        </w:rPr>
        <w:t>中小企业声明函</w:t>
      </w:r>
      <w:bookmarkEnd w:id="72"/>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0"/>
    </w:p>
    <w:bookmarkEnd w:id="71"/>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3" w:name="_Hlk67172184"/>
      <w:r>
        <w:rPr>
          <w:rFonts w:hint="eastAsia" w:ascii="宋体" w:hAnsi="宋体" w:cs="宋体"/>
          <w:color w:val="auto"/>
          <w:sz w:val="24"/>
          <w:szCs w:val="24"/>
        </w:rPr>
        <w:t>提供的 “中小企业声明函”内容不实</w:t>
      </w:r>
      <w:bookmarkEnd w:id="73"/>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74"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hint="eastAsia"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hint="eastAsia" w:ascii="宋体" w:hAnsi="宋体"/>
          <w:b/>
          <w:sz w:val="24"/>
        </w:rPr>
      </w:pPr>
      <w:r>
        <w:rPr>
          <w:rFonts w:hint="eastAsia" w:ascii="宋体" w:hAnsi="宋体"/>
          <w:b/>
          <w:sz w:val="24"/>
          <w:lang w:val="en-US" w:eastAsia="zh-CN"/>
        </w:rPr>
        <w:t>九</w:t>
      </w:r>
      <w:r>
        <w:rPr>
          <w:rFonts w:hint="eastAsia" w:ascii="宋体" w:hAnsi="宋体"/>
          <w:b/>
          <w:sz w:val="24"/>
        </w:rPr>
        <w:t>、其他注意事项</w:t>
      </w:r>
    </w:p>
    <w:p>
      <w:pPr>
        <w:snapToGrid w:val="0"/>
        <w:spacing w:line="480" w:lineRule="exact"/>
        <w:ind w:firstLine="570"/>
        <w:rPr>
          <w:sz w:val="24"/>
        </w:rPr>
      </w:pPr>
      <w:r>
        <w:rPr>
          <w:sz w:val="24"/>
        </w:rPr>
        <w:t>1、在</w:t>
      </w:r>
      <w:r>
        <w:rPr>
          <w:rFonts w:hint="eastAsia"/>
          <w:sz w:val="24"/>
          <w:lang w:val="en-US" w:eastAsia="zh-CN"/>
        </w:rPr>
        <w:t>磋商响应</w:t>
      </w:r>
      <w:r>
        <w:rPr>
          <w:rFonts w:hint="eastAsia" w:ascii="宋体" w:hAnsi="宋体" w:eastAsia="宋体" w:cs="宋体"/>
          <w:sz w:val="24"/>
          <w:lang w:val="en-US" w:eastAsia="zh-CN"/>
        </w:rPr>
        <w:t>﹑</w:t>
      </w:r>
      <w:r>
        <w:rPr>
          <w:sz w:val="24"/>
        </w:rPr>
        <w:t>开标时间，</w:t>
      </w:r>
      <w:r>
        <w:rPr>
          <w:rFonts w:hint="eastAsia"/>
          <w:sz w:val="24"/>
          <w:lang w:val="en-US" w:eastAsia="zh-CN"/>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lang w:val="en-US" w:eastAsia="zh-CN"/>
        </w:rPr>
        <w:t>供应商</w:t>
      </w:r>
      <w:r>
        <w:rPr>
          <w:sz w:val="24"/>
        </w:rPr>
        <w:t>解释落标原因。</w:t>
      </w:r>
    </w:p>
    <w:p>
      <w:pPr>
        <w:snapToGrid w:val="0"/>
        <w:spacing w:line="480" w:lineRule="exact"/>
        <w:ind w:firstLine="570"/>
        <w:rPr>
          <w:sz w:val="24"/>
        </w:rPr>
      </w:pPr>
      <w:r>
        <w:rPr>
          <w:sz w:val="24"/>
        </w:rPr>
        <w:t>3、在</w:t>
      </w:r>
      <w:r>
        <w:rPr>
          <w:rFonts w:hint="eastAsia"/>
          <w:sz w:val="24"/>
          <w:lang w:val="en-US" w:eastAsia="zh-CN"/>
        </w:rPr>
        <w:t>磋商响应</w:t>
      </w:r>
      <w:r>
        <w:rPr>
          <w:rFonts w:hint="eastAsia" w:ascii="宋体" w:hAnsi="宋体" w:eastAsia="宋体" w:cs="宋体"/>
          <w:sz w:val="24"/>
          <w:lang w:val="en-US" w:eastAsia="zh-CN"/>
        </w:rPr>
        <w:t>﹑</w:t>
      </w:r>
      <w:r>
        <w:rPr>
          <w:sz w:val="24"/>
        </w:rPr>
        <w:t>评标过程中，如果</w:t>
      </w:r>
      <w:r>
        <w:rPr>
          <w:rFonts w:hint="eastAsia"/>
          <w:sz w:val="24"/>
          <w:lang w:val="en-US" w:eastAsia="zh-CN"/>
        </w:rPr>
        <w:t>供应商</w:t>
      </w:r>
      <w:r>
        <w:rPr>
          <w:sz w:val="24"/>
        </w:rPr>
        <w:t>联合故意抬高报价或出现其他不正当行为，采购人有权中止</w:t>
      </w:r>
      <w:r>
        <w:rPr>
          <w:rFonts w:hint="eastAsia"/>
          <w:sz w:val="24"/>
          <w:lang w:val="en-US" w:eastAsia="zh-CN"/>
        </w:rPr>
        <w:t>磋商响应</w:t>
      </w:r>
      <w:r>
        <w:rPr>
          <w:sz w:val="24"/>
        </w:rPr>
        <w:t>或评标。</w:t>
      </w:r>
    </w:p>
    <w:p>
      <w:pPr>
        <w:snapToGrid w:val="0"/>
        <w:spacing w:line="480" w:lineRule="exact"/>
        <w:ind w:firstLine="570"/>
        <w:rPr>
          <w:sz w:val="24"/>
        </w:rPr>
      </w:pPr>
      <w:r>
        <w:rPr>
          <w:sz w:val="24"/>
        </w:rPr>
        <w:t>4、凡在投</w:t>
      </w:r>
      <w:r>
        <w:rPr>
          <w:rFonts w:hint="eastAsia"/>
          <w:sz w:val="24"/>
          <w:lang w:val="en-US" w:eastAsia="zh-CN"/>
        </w:rPr>
        <w:t>磋商响应</w:t>
      </w:r>
      <w:r>
        <w:rPr>
          <w:sz w:val="24"/>
        </w:rPr>
        <w:t>、开标过程中，已提示是否异议的事项，</w:t>
      </w:r>
      <w:r>
        <w:rPr>
          <w:rFonts w:hint="eastAsia"/>
          <w:sz w:val="24"/>
          <w:lang w:val="en-US" w:eastAsia="zh-CN"/>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lang w:val="en-US" w:eastAsia="zh-CN"/>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6"/>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lang w:val="en-US" w:eastAsia="zh-CN"/>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6"/>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51"/>
      </w:pPr>
    </w:p>
    <w:p>
      <w:pPr>
        <w:pStyle w:val="3"/>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0"/>
      <w:bookmarkEnd w:id="61"/>
      <w:r>
        <w:rPr>
          <w:rFonts w:hint="eastAsia" w:ascii="宋体" w:hAnsi="宋体" w:cs="宋体"/>
          <w:w w:val="80"/>
        </w:rPr>
        <w:t>第五章  合同主要条款</w:t>
      </w:r>
      <w:bookmarkStart w:id="75" w:name="_Toc20744795"/>
      <w:bookmarkStart w:id="76" w:name="_Toc20744258"/>
      <w:bookmarkStart w:id="77" w:name="_Toc39047827"/>
    </w:p>
    <w:bookmarkEnd w:id="75"/>
    <w:bookmarkEnd w:id="76"/>
    <w:bookmarkEnd w:id="77"/>
    <w:p>
      <w:pPr>
        <w:spacing w:line="360" w:lineRule="auto"/>
        <w:jc w:val="center"/>
        <w:outlineLvl w:val="0"/>
        <w:rPr>
          <w:rFonts w:hint="eastAsia" w:ascii="宋体" w:hAnsi="宋体" w:cs="宋体"/>
          <w:b/>
          <w:iCs/>
          <w:w w:val="80"/>
          <w:sz w:val="44"/>
          <w:szCs w:val="44"/>
          <w:highlight w:val="none"/>
        </w:rPr>
      </w:pPr>
      <w:bookmarkStart w:id="78" w:name="_Toc29250"/>
      <w:r>
        <w:rPr>
          <w:rFonts w:hint="eastAsia" w:ascii="宋体" w:hAnsi="宋体" w:cs="宋体"/>
          <w:b/>
          <w:iCs/>
          <w:w w:val="80"/>
          <w:sz w:val="44"/>
          <w:szCs w:val="44"/>
          <w:highlight w:val="none"/>
        </w:rPr>
        <w:t>合 同 书</w:t>
      </w:r>
      <w:bookmarkEnd w:id="78"/>
      <w:r>
        <w:rPr>
          <w:rFonts w:hint="eastAsia" w:ascii="宋体" w:hAnsi="宋体" w:cs="宋体"/>
          <w:b/>
          <w:iCs/>
          <w:w w:val="80"/>
          <w:sz w:val="44"/>
          <w:szCs w:val="44"/>
          <w:highlight w:val="none"/>
        </w:rPr>
        <w:t xml:space="preserve"> </w:t>
      </w:r>
    </w:p>
    <w:p>
      <w:pPr>
        <w:rPr>
          <w:rFonts w:hint="eastAsia" w:ascii="宋体" w:hAnsi="宋体" w:cs="宋体"/>
          <w:bCs/>
          <w:sz w:val="24"/>
          <w:szCs w:val="24"/>
          <w:highlight w:val="none"/>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委托方：</w:t>
      </w:r>
      <w:r>
        <w:rPr>
          <w:rFonts w:hint="eastAsia" w:asciiTheme="minorEastAsia" w:hAnsiTheme="minorEastAsia" w:eastAsiaTheme="minorEastAsia" w:cstheme="minorEastAsia"/>
          <w:sz w:val="24"/>
          <w:szCs w:val="24"/>
          <w:lang w:eastAsia="zh-CN"/>
        </w:rPr>
        <w:t>南通市妇幼保健院</w:t>
      </w:r>
      <w:r>
        <w:rPr>
          <w:rFonts w:hint="eastAsia" w:asciiTheme="minorEastAsia" w:hAnsiTheme="minorEastAsia" w:eastAsiaTheme="minorEastAsia" w:cstheme="minorEastAsia"/>
          <w:sz w:val="24"/>
          <w:szCs w:val="24"/>
        </w:rPr>
        <w:t>（以下简称甲方）</w:t>
      </w:r>
    </w:p>
    <w:p>
      <w:pPr>
        <w:spacing w:line="360" w:lineRule="auto"/>
        <w:ind w:left="7560" w:hanging="6480" w:hangingChars="2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（以下简称乙方）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根据《中华人民共和国民法典》的有关规定，并结合本项目的具体情况，就甲方委托乙方完成</w:t>
      </w:r>
      <w:r>
        <w:rPr>
          <w:rFonts w:hint="eastAsia" w:asciiTheme="minorEastAsia" w:hAnsiTheme="minorEastAsia" w:eastAsiaTheme="minorEastAsia" w:cstheme="minorEastAsia"/>
          <w:sz w:val="24"/>
          <w:szCs w:val="24"/>
          <w:lang w:eastAsia="zh-CN"/>
        </w:rPr>
        <w:t>南通市妇幼保健院污水处理站社会化运维托管项目</w:t>
      </w:r>
      <w:r>
        <w:rPr>
          <w:rFonts w:hint="eastAsia" w:asciiTheme="minorEastAsia" w:hAnsiTheme="minorEastAsia" w:eastAsiaTheme="minorEastAsia" w:cstheme="minorEastAsia"/>
          <w:sz w:val="24"/>
          <w:szCs w:val="24"/>
        </w:rPr>
        <w:t>订立本合同，以资共同遵守。</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一、托管范围</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1、承担污水处理站的日常管理与操作，包括：设备运行管理；保证污水处理设施的正常安全运行、污水处理工作状况记录；水质监测与自检记录；设备维护保养与</w:t>
      </w:r>
      <w:r>
        <w:rPr>
          <w:rFonts w:hint="eastAsia" w:asciiTheme="minorEastAsia" w:hAnsiTheme="minorEastAsia" w:eastAsiaTheme="minorEastAsia" w:cstheme="minorEastAsia"/>
          <w:sz w:val="24"/>
          <w:szCs w:val="24"/>
        </w:rPr>
        <w:t>数据管理</w:t>
      </w:r>
      <w:r>
        <w:rPr>
          <w:rFonts w:hint="eastAsia" w:asciiTheme="minorEastAsia" w:hAnsiTheme="minorEastAsia" w:eastAsiaTheme="minorEastAsia" w:cstheme="minorEastAsia"/>
          <w:bCs/>
          <w:sz w:val="24"/>
          <w:szCs w:val="24"/>
        </w:rPr>
        <w:t>等工作。</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2、防止污水漫溢，及时清理栅渣、飘浮物和淤泥，</w:t>
      </w:r>
      <w:r>
        <w:rPr>
          <w:rFonts w:hint="eastAsia" w:asciiTheme="minorEastAsia" w:hAnsiTheme="minorEastAsia" w:eastAsiaTheme="minorEastAsia" w:cstheme="minorEastAsia"/>
          <w:sz w:val="24"/>
          <w:szCs w:val="24"/>
        </w:rPr>
        <w:t>妥善处理好污水站的废渣、污泥的消毒、固危废处理</w:t>
      </w:r>
      <w:r>
        <w:rPr>
          <w:rFonts w:hint="eastAsia" w:asciiTheme="minorEastAsia" w:hAnsiTheme="minorEastAsia" w:eastAsiaTheme="minorEastAsia" w:cstheme="minorEastAsia"/>
          <w:bCs/>
          <w:sz w:val="24"/>
          <w:szCs w:val="24"/>
        </w:rPr>
        <w:t>等工作（不含固危废外运）。</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3、负责消毒药剂投放和贮存，保证污水处理符合国家标准。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4、接受医院、生态环境局、疾控中心、城市排水等部门的安全监督管理。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5、维持污水处理站的环境卫生等相关工作。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二、技术要求</w:t>
      </w:r>
    </w:p>
    <w:p>
      <w:pPr>
        <w:widowControl/>
        <w:spacing w:line="360" w:lineRule="auto"/>
        <w:ind w:firstLine="480" w:firstLineChars="200"/>
        <w:textAlignment w:val="baseline"/>
        <w:rPr>
          <w:rFonts w:hint="eastAsia" w:asciiTheme="minorEastAsia" w:hAnsiTheme="minorEastAsia" w:eastAsiaTheme="minorEastAsia" w:cstheme="minorEastAsia"/>
          <w:b/>
          <w:bCs/>
          <w:sz w:val="24"/>
          <w:szCs w:val="24"/>
          <w:u w:val="single" w:color="FF0000"/>
        </w:rPr>
      </w:pPr>
      <w:r>
        <w:rPr>
          <w:rFonts w:hint="eastAsia" w:asciiTheme="minorEastAsia" w:hAnsiTheme="minorEastAsia" w:eastAsiaTheme="minorEastAsia" w:cstheme="minorEastAsia"/>
          <w:sz w:val="24"/>
          <w:szCs w:val="24"/>
        </w:rPr>
        <w:t>1、日处理水量：</w:t>
      </w:r>
      <w:r>
        <w:rPr>
          <w:rFonts w:hint="eastAsia" w:asciiTheme="minorEastAsia" w:hAnsiTheme="minorEastAsia" w:eastAsiaTheme="minorEastAsia" w:cstheme="minorEastAsia"/>
          <w:b/>
          <w:bCs/>
          <w:sz w:val="24"/>
          <w:szCs w:val="24"/>
          <w:lang w:eastAsia="zh-CN"/>
        </w:rPr>
        <w:t>目前</w:t>
      </w:r>
      <w:r>
        <w:rPr>
          <w:rFonts w:hint="eastAsia" w:asciiTheme="minorEastAsia" w:hAnsiTheme="minorEastAsia" w:eastAsiaTheme="minorEastAsia" w:cstheme="minorEastAsia"/>
          <w:b/>
          <w:bCs/>
          <w:sz w:val="24"/>
          <w:szCs w:val="24"/>
        </w:rPr>
        <w:t>最大污水处理能力目前700立方米，后期会扩容到1100立方米</w:t>
      </w:r>
      <w:bookmarkStart w:id="80" w:name="_GoBack"/>
      <w:bookmarkEnd w:id="80"/>
      <w:r>
        <w:rPr>
          <w:rFonts w:hint="eastAsia" w:asciiTheme="minorEastAsia" w:hAnsiTheme="minorEastAsia" w:eastAsiaTheme="minorEastAsia" w:cstheme="minorEastAsia"/>
          <w:b/>
          <w:bCs/>
          <w:sz w:val="24"/>
          <w:szCs w:val="24"/>
        </w:rPr>
        <w:t>。</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排污标准：达到《医疗机构水污染物排放标准》GB18466-2005预处理标准，《污水排入城市下水道水质标准》GB/T31962-2015和排污许可证内其他相关技术标准等，保证通过生态环境局、疾控中心、城市排水等上级主管部门的监督和检查要求。</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维和保养：保证污水处理站的环境卫生和安全运行；手动检测污水水质并作好记录；负责运营期内污水站的投药；设备的保养、维修保证设备满足运行；负责对监控设备的定标、试剂更换和台账资料等进行监管；负责对检测异常数据及时汇报并出具情况说明书，及时处理满足要求；掌握应急处理措施并予以解决。配合在线自动监测设备运维单位做好日常管理工作。</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4、日常记录及保管：应满足运营要求，记录详细完整，可随时备查。</w:t>
      </w:r>
    </w:p>
    <w:p>
      <w:pPr>
        <w:widowControl/>
        <w:spacing w:line="360" w:lineRule="auto"/>
        <w:ind w:left="281" w:hanging="241" w:hangingChars="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三、服务期限及服务地点</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宋体" w:hAnsi="宋体" w:cs="宋体"/>
          <w:color w:val="auto"/>
          <w:sz w:val="24"/>
          <w:szCs w:val="24"/>
        </w:rPr>
        <w:t>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预计自2023年 7月至2026年 7月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w:t>
      </w:r>
      <w:r>
        <w:rPr>
          <w:rFonts w:hint="eastAsia" w:ascii="宋体" w:hAnsi="宋体" w:cs="宋体"/>
          <w:color w:val="auto"/>
          <w:sz w:val="24"/>
          <w:szCs w:val="24"/>
          <w:lang w:eastAsia="zh-CN"/>
        </w:rPr>
        <w:t>乙方</w:t>
      </w:r>
      <w:r>
        <w:rPr>
          <w:rFonts w:hint="eastAsia" w:ascii="宋体" w:hAnsi="宋体" w:cs="宋体"/>
          <w:color w:val="auto"/>
          <w:sz w:val="24"/>
          <w:szCs w:val="24"/>
        </w:rPr>
        <w:t>在合同期内履约情况优秀（即年度综合考核得分≥90分），则在第一年合同期满时，且</w:t>
      </w:r>
      <w:r>
        <w:rPr>
          <w:rFonts w:hint="eastAsia" w:ascii="宋体" w:hAnsi="宋体" w:cs="宋体"/>
          <w:color w:val="auto"/>
          <w:sz w:val="24"/>
          <w:szCs w:val="24"/>
          <w:lang w:eastAsia="zh-CN"/>
        </w:rPr>
        <w:t>甲乙</w:t>
      </w:r>
      <w:r>
        <w:rPr>
          <w:rFonts w:hint="eastAsia" w:ascii="宋体" w:hAnsi="宋体" w:cs="宋体"/>
          <w:color w:val="auto"/>
          <w:sz w:val="24"/>
          <w:szCs w:val="24"/>
        </w:rPr>
        <w:t>双方愿意，</w:t>
      </w:r>
      <w:r>
        <w:rPr>
          <w:rFonts w:hint="eastAsia" w:ascii="宋体" w:hAnsi="宋体" w:cs="宋体"/>
          <w:color w:val="auto"/>
          <w:sz w:val="24"/>
          <w:szCs w:val="24"/>
          <w:lang w:eastAsia="zh-CN"/>
        </w:rPr>
        <w:t>乙方</w:t>
      </w:r>
      <w:r>
        <w:rPr>
          <w:rFonts w:hint="eastAsia" w:ascii="宋体" w:hAnsi="宋体" w:cs="宋体"/>
          <w:color w:val="auto"/>
          <w:sz w:val="24"/>
          <w:szCs w:val="24"/>
        </w:rPr>
        <w:t>承诺不增加服务费用的前提下，双方可续签下一年度合同，但最多续签两次。如</w:t>
      </w:r>
      <w:r>
        <w:rPr>
          <w:rFonts w:hint="eastAsia" w:ascii="宋体" w:hAnsi="宋体" w:cs="宋体"/>
          <w:color w:val="auto"/>
          <w:sz w:val="24"/>
          <w:szCs w:val="24"/>
          <w:lang w:eastAsia="zh-CN"/>
        </w:rPr>
        <w:t>乙方</w:t>
      </w:r>
      <w:r>
        <w:rPr>
          <w:rFonts w:hint="eastAsia" w:ascii="宋体" w:hAnsi="宋体" w:cs="宋体"/>
          <w:color w:val="auto"/>
          <w:sz w:val="24"/>
          <w:szCs w:val="24"/>
        </w:rPr>
        <w:t>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w:t>
      </w:r>
      <w:r>
        <w:rPr>
          <w:rFonts w:hint="eastAsia" w:ascii="宋体" w:hAnsi="宋体" w:cs="宋体"/>
          <w:color w:val="auto"/>
          <w:sz w:val="24"/>
          <w:szCs w:val="24"/>
          <w:lang w:eastAsia="zh-CN"/>
        </w:rPr>
        <w:t>甲方</w:t>
      </w:r>
      <w:r>
        <w:rPr>
          <w:rFonts w:hint="eastAsia" w:ascii="宋体" w:hAnsi="宋体" w:cs="宋体"/>
          <w:color w:val="auto"/>
          <w:sz w:val="24"/>
          <w:szCs w:val="24"/>
        </w:rPr>
        <w:t>不再与</w:t>
      </w:r>
      <w:r>
        <w:rPr>
          <w:rFonts w:hint="eastAsia" w:ascii="宋体" w:hAnsi="宋体" w:cs="宋体"/>
          <w:color w:val="auto"/>
          <w:sz w:val="24"/>
          <w:szCs w:val="24"/>
          <w:lang w:eastAsia="zh-CN"/>
        </w:rPr>
        <w:t>乙方</w:t>
      </w:r>
      <w:r>
        <w:rPr>
          <w:rFonts w:hint="eastAsia" w:ascii="宋体" w:hAnsi="宋体" w:cs="宋体"/>
          <w:color w:val="auto"/>
          <w:sz w:val="24"/>
          <w:szCs w:val="24"/>
        </w:rPr>
        <w:t>续签合同。</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2、服务地点：</w:t>
      </w:r>
      <w:r>
        <w:rPr>
          <w:rFonts w:hint="eastAsia" w:asciiTheme="minorEastAsia" w:hAnsiTheme="minorEastAsia" w:eastAsiaTheme="minorEastAsia" w:cstheme="minorEastAsia"/>
          <w:bCs/>
          <w:sz w:val="24"/>
          <w:szCs w:val="24"/>
          <w:lang w:eastAsia="zh-CN"/>
        </w:rPr>
        <w:t>南通市妇幼保健院</w:t>
      </w:r>
      <w:r>
        <w:rPr>
          <w:rFonts w:hint="eastAsia" w:asciiTheme="minorEastAsia" w:hAnsiTheme="minorEastAsia" w:eastAsiaTheme="minorEastAsia" w:cstheme="minorEastAsia"/>
          <w:bCs/>
          <w:sz w:val="24"/>
          <w:szCs w:val="24"/>
        </w:rPr>
        <w:t>。</w:t>
      </w:r>
    </w:p>
    <w:p>
      <w:pPr>
        <w:spacing w:line="360" w:lineRule="auto"/>
        <w:rPr>
          <w:rFonts w:hint="eastAsia" w:asciiTheme="minorEastAsia" w:hAnsiTheme="minorEastAsia" w:eastAsiaTheme="minorEastAsia" w:cstheme="minorEastAsia"/>
          <w:b/>
          <w:sz w:val="24"/>
          <w:szCs w:val="24"/>
          <w:u w:val="none"/>
        </w:rPr>
      </w:pPr>
      <w:r>
        <w:rPr>
          <w:rFonts w:hint="eastAsia" w:asciiTheme="minorEastAsia" w:hAnsiTheme="minorEastAsia" w:eastAsiaTheme="minorEastAsia" w:cstheme="minorEastAsia"/>
          <w:b/>
          <w:sz w:val="24"/>
          <w:szCs w:val="24"/>
        </w:rPr>
        <w:t>四、合同价格及费用结算</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rPr>
        <w:t>1、合同金额每年为人民币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元</w:t>
      </w:r>
      <w:r>
        <w:rPr>
          <w:rFonts w:hint="eastAsia" w:asciiTheme="minorEastAsia" w:hAnsiTheme="minorEastAsia" w:eastAsiaTheme="minorEastAsia" w:cstheme="minorEastAsia"/>
          <w:sz w:val="24"/>
          <w:szCs w:val="24"/>
        </w:rPr>
        <w:t>），此合</w:t>
      </w:r>
      <w:r>
        <w:rPr>
          <w:rFonts w:hint="eastAsia" w:asciiTheme="minorEastAsia" w:hAnsiTheme="minorEastAsia" w:eastAsiaTheme="minorEastAsia" w:cstheme="minorEastAsia"/>
          <w:bCs/>
          <w:sz w:val="24"/>
          <w:szCs w:val="24"/>
        </w:rPr>
        <w:t>同价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2、本项目三年服务期内，国家或地方政府征收新的或额外的税收、费用以及调整最低工资标准、社保费用时，乙方支付员工工资必须按照国家相关要求做出相应调整，甲方按成交价格支付不予调整。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期内如有劳资纠纷、工伤处理由乙方自行处理解决，并由其按《劳动法》相关规定给予劳动者补偿，费用由乙方承担；如因乙方原因造成不良舆情，由乙方负责消除并承担由此产生的一切后果，且不得影响甲方正常工作的开展。</w:t>
      </w:r>
    </w:p>
    <w:p>
      <w:pPr>
        <w:widowControl/>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1000元以下零配件材料费由中标人自行承担，1000元以下零配件包含但不限于水泵机封，水泵叶轮、水泵轴承、螺杆泵胶套、塑料阀门、机油、齿轮油、风机皮带、螺丝螺母、链条、断路器、继电器。1000元以上的由采购单位提供。</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5、付款方式、时间：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每季度进行一次考核，考核分大于90分（含90分）的，则全额支付上季度费用，</w:t>
      </w:r>
      <w:r>
        <w:rPr>
          <w:rFonts w:hint="eastAsia" w:asciiTheme="minorEastAsia" w:hAnsiTheme="minorEastAsia" w:eastAsiaTheme="minorEastAsia" w:cstheme="minorEastAsia"/>
          <w:sz w:val="24"/>
          <w:szCs w:val="24"/>
          <w:lang w:val="en-US" w:eastAsia="zh-CN"/>
        </w:rPr>
        <w:t>低于90分的，每低1分扣相应支付费用总额的1%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季度考核得分低于60分的，甲方有权不支付当季度费用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6、乙方应按时如数按月给服务人员结算当月工资费用，不能以任何理由拖欠工资。一经发现，甲方有权立即终止合同并扣除履约保证金。</w:t>
      </w:r>
    </w:p>
    <w:p>
      <w:pPr>
        <w:spacing w:line="360" w:lineRule="auto"/>
        <w:ind w:left="562" w:hanging="482" w:hanging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zh-CN"/>
        </w:rPr>
        <w:t>五、履约保证金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1、签订本合同前，乙方须向甲方支付</w:t>
      </w:r>
      <w:r>
        <w:rPr>
          <w:rFonts w:hint="eastAsia" w:asciiTheme="minorEastAsia" w:hAnsiTheme="minorEastAsia" w:eastAsiaTheme="minorEastAsia" w:cstheme="minorEastAsia"/>
          <w:sz w:val="24"/>
          <w:szCs w:val="24"/>
          <w:lang w:eastAsia="zh-CN"/>
        </w:rPr>
        <w:t>成交价</w:t>
      </w:r>
      <w:r>
        <w:rPr>
          <w:rFonts w:hint="eastAsia" w:asciiTheme="minorEastAsia" w:hAnsiTheme="minorEastAsia" w:eastAsiaTheme="minorEastAsia" w:cstheme="minorEastAsia"/>
          <w:sz w:val="24"/>
          <w:szCs w:val="24"/>
          <w:lang w:val="en-US" w:eastAsia="zh-CN"/>
        </w:rPr>
        <w:t>5%即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元的履约保证金。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2、乙方全部履约合同义务，经甲方验收合格，甲方在验收合格后一次性退还履约保证金；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3、发生以下情况的，履约保证金不予退还或部分退还：a.签订合同后，乙方不履行合同义务的，甲方有权全额扣除履约保证金，全额不予退还，同时甲方亦有权终止合同，乙方还须承担相应的法律赔偿责任。b.乙方在履约过程中发生违约行为，给甲方造成损失的，甲方有权在乙方缴纳的履约保证金中予以扣款，以弥补甲方经济损失，不足的部分乙方另外补齐。</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六、乙方人员配置</w:t>
      </w:r>
    </w:p>
    <w:p>
      <w:pPr>
        <w:widowControl/>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1、拟派项目负责人：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rPr>
        <w:t xml:space="preserve"> ，联系电话：</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widowControl/>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2、乙方的服务人员</w:t>
      </w:r>
      <w:r>
        <w:rPr>
          <w:rFonts w:hint="eastAsia" w:asciiTheme="minorEastAsia" w:hAnsiTheme="minorEastAsia" w:eastAsiaTheme="minorEastAsia" w:cstheme="minorEastAsia"/>
          <w:b/>
          <w:bCs w:val="0"/>
          <w:sz w:val="24"/>
          <w:szCs w:val="24"/>
        </w:rPr>
        <w:t>至少</w:t>
      </w:r>
      <w:r>
        <w:rPr>
          <w:rFonts w:hint="eastAsia" w:asciiTheme="minorEastAsia" w:hAnsiTheme="minorEastAsia" w:eastAsiaTheme="minorEastAsia" w:cstheme="minorEastAsia"/>
          <w:b/>
          <w:bCs w:val="0"/>
          <w:sz w:val="24"/>
          <w:szCs w:val="24"/>
          <w:lang w:val="en-US" w:eastAsia="zh-CN"/>
        </w:rPr>
        <w:t>4</w:t>
      </w:r>
      <w:r>
        <w:rPr>
          <w:rFonts w:hint="eastAsia" w:asciiTheme="minorEastAsia" w:hAnsiTheme="minorEastAsia" w:eastAsiaTheme="minorEastAsia" w:cstheme="minorEastAsia"/>
          <w:b/>
          <w:bCs w:val="0"/>
          <w:sz w:val="24"/>
          <w:szCs w:val="24"/>
        </w:rPr>
        <w:t>人（驻场人员至少白班2人，晚班1人</w:t>
      </w:r>
      <w:r>
        <w:rPr>
          <w:rFonts w:hint="eastAsia" w:asciiTheme="minorEastAsia" w:hAnsiTheme="minorEastAsia" w:eastAsiaTheme="minorEastAsia" w:cstheme="minorEastAsia"/>
          <w:bCs/>
          <w:sz w:val="24"/>
          <w:szCs w:val="24"/>
        </w:rPr>
        <w:t>），具体人员名单详见附件，如有人员改变，须提前一个月书面告知，人员资质不变。</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七、乙方管理服务应达到的各项指标</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w:t>
      </w:r>
      <w:r>
        <w:rPr>
          <w:rFonts w:hint="eastAsia" w:asciiTheme="minorEastAsia" w:hAnsiTheme="minorEastAsia" w:eastAsiaTheme="minorEastAsia" w:cstheme="minorEastAsia"/>
          <w:bCs/>
          <w:sz w:val="24"/>
          <w:szCs w:val="24"/>
        </w:rPr>
        <w:t>应服从医院管理，需制定严格的工作制度、工作流程、管理制度及突发事件的应急预案</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严格遵守国家有关的法律、法规及行业标准，自行负责员工的所有工资、福利等；如发生工伤、疾病乃至死亡的一切责任及费用由乙方全部负责。乙方需全面落实本项目污水处理全套工艺中安全生产责任，本项目如发生安全事故（包含但不限于腐蚀、泄露、爆炸、环境污染、有限空间作业、机械伤害、坠落等等）造成的后果由乙方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3、乙方在服务过程中由于疏忽、过失行为给甲方造成损失的，一切责任和费用由乙方应商承担。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4、乙方自备工作服，服务人员统一着装。</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八、甲方责任及约定</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1、甲方为乙方提供</w:t>
      </w:r>
      <w:r>
        <w:rPr>
          <w:rFonts w:hint="eastAsia" w:asciiTheme="minorEastAsia" w:hAnsiTheme="minorEastAsia" w:eastAsiaTheme="minorEastAsia" w:cstheme="minorEastAsia"/>
          <w:bCs/>
          <w:sz w:val="24"/>
          <w:szCs w:val="24"/>
        </w:rPr>
        <w:t>设备仓库及管理用房，在服务期限内提供给乙方免费使用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2、甲方提供给乙方</w:t>
      </w:r>
      <w:r>
        <w:rPr>
          <w:rFonts w:hint="eastAsia" w:asciiTheme="minorEastAsia" w:hAnsiTheme="minorEastAsia" w:eastAsiaTheme="minorEastAsia" w:cstheme="minorEastAsia"/>
          <w:bCs/>
          <w:sz w:val="24"/>
          <w:szCs w:val="24"/>
        </w:rPr>
        <w:t>办公等设备正常使用情况下所产生的水电费用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Cs/>
          <w:sz w:val="24"/>
          <w:szCs w:val="24"/>
        </w:rPr>
        <w:t>水处理药剂包括片碱、次氯酸钠、PAM、葡萄糖等由甲方提供</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4、甲方有权对乙方的工作进行监管考核，对甲方提出的要求，乙方应及时响应。</w:t>
      </w:r>
    </w:p>
    <w:p>
      <w:pPr>
        <w:spacing w:line="360" w:lineRule="auto"/>
        <w:ind w:left="422" w:hanging="361" w:hanging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九、乙方责任及约定</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确保污水处理站24h*365天，污水站有人值守，不得超班次连续上班。如有数据异常应及时告知甲方，查找原因并提交书面报告给甲方，同时应及时标记，确保达标排放。如现有设施不能满足运营需及时上报甲方提出整改意见。</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2、乙方确保污水达标排放，由于运维责任落实不到位导致不达标所产生的行政处罚（含罚款）等由乙方承担。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3、乙方负责污水站相关台账的建立、记录符合相关部分的要求。</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4、乙方配合甲方通过相关部分关于污水处理方面的检查。</w:t>
      </w:r>
    </w:p>
    <w:p>
      <w:pPr>
        <w:spacing w:line="360" w:lineRule="auto"/>
        <w:ind w:left="420" w:leftChars="200" w:firstLine="120" w:firstLineChar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5、在合同期内如有服务区域发生改变，双方另行协商解决。</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6、乙方承诺在服务期满后、甲方签订新合同前，继续提供运维托管服务。</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十、违约责任</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1、甲乙双方按本合同及其附件的规定本着权利和义务相对应的原则确定相互的违约费用。</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2、甲方按规定考核乙方，事实成立即可追究乙方经济责任。</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乙方合同违约（提前解除、合同解除或终止不及时撤出等）甲方按本合同总价的10%向乙方收取违约金；若甲方合同违约（如无故提前解除、不按约定解除合同等违约行为）乙方向甲方收取合同总价10%的违约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4、甲方按规定时间支付合同款，乙方无正当理由，未按时支付乙方服务人员的工资及办理各种社会保险等福利的，逾期15日以上的，甲方可终止本合同的履行，由此造成的损失和一切法律责任，由乙方自行承担。</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5、甲方不按规定时间支付合同款的违约行为，乙方按每天万分之三的费率收取甲方滞纳金。（如因甲方财务安排方面原因，可酌情延后付款）</w:t>
      </w:r>
    </w:p>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十一、下列文件为本合同不可分割部分</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1、合同附件。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2、成交通知书；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3、乙方的磋商响应文件；</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4、竞争性磋商文件及其附件；</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以上与本合同具有同等法律效力。</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十二、争议解决</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1、因服务质量引起安全生产问题发生争议的，应当邀请国家认可的质量监督机构或权威部门对安全生产问题进行鉴定。若鉴定为甲方责任，鉴定费由甲方承担；若鉴定为乙方责任，鉴定费由乙方承担；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2、本合同双方就本合同产生的争议应首先友好协商解决，若协商不成则采取以下第（1）种方式解决争议：</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（1）向甲方所在地有管辖权的人民法院提起诉讼；</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（2）向南通仲裁委员会按其仲裁规则申请仲裁。</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十三、附则</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1、合同份数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本合同一式肆份，甲方执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份，乙方执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2、未尽事宜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本合同未尽事宜应按《中华人民共和国民法典》及相关法律、法规之规定解释。</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附件：《</w:t>
      </w:r>
      <w:r>
        <w:rPr>
          <w:rFonts w:hint="eastAsia" w:asciiTheme="minorEastAsia" w:hAnsiTheme="minorEastAsia" w:eastAsiaTheme="minorEastAsia" w:cstheme="minorEastAsia"/>
          <w:kern w:val="0"/>
          <w:sz w:val="24"/>
          <w:szCs w:val="24"/>
          <w:lang w:eastAsia="zh-CN"/>
        </w:rPr>
        <w:t>南通市妇幼保健院</w:t>
      </w:r>
      <w:r>
        <w:rPr>
          <w:rFonts w:hint="eastAsia" w:asciiTheme="minorEastAsia" w:hAnsiTheme="minorEastAsia" w:eastAsiaTheme="minorEastAsia" w:cstheme="minorEastAsia"/>
          <w:kern w:val="0"/>
          <w:sz w:val="24"/>
          <w:szCs w:val="24"/>
        </w:rPr>
        <w:t>污水处理运维考核表》</w:t>
      </w:r>
    </w:p>
    <w:p>
      <w:pPr>
        <w:spacing w:line="360" w:lineRule="auto"/>
        <w:rPr>
          <w:rFonts w:hint="eastAsia" w:asciiTheme="minorEastAsia" w:hAnsiTheme="minorEastAsia" w:eastAsiaTheme="minorEastAsia" w:cstheme="minorEastAsia"/>
          <w:sz w:val="24"/>
          <w:szCs w:val="24"/>
        </w:rPr>
      </w:pP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甲方（签章）：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乙方（签章）：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地址：                                      地址：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甲方代表（签字）:                           乙方代表（签字）：</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pPr>
        <w:spacing w:after="120"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银行账号：</w:t>
      </w:r>
    </w:p>
    <w:p>
      <w:pPr>
        <w:spacing w:after="120"/>
        <w:rPr>
          <w:rFonts w:ascii="仿宋" w:hAnsi="仿宋" w:eastAsia="仿宋"/>
          <w:kern w:val="0"/>
          <w:sz w:val="28"/>
          <w:szCs w:val="28"/>
        </w:rPr>
      </w:pPr>
      <w:r>
        <w:rPr>
          <w:rFonts w:hint="eastAsia" w:ascii="仿宋" w:hAnsi="仿宋" w:eastAsia="仿宋"/>
          <w:kern w:val="0"/>
          <w:sz w:val="28"/>
          <w:szCs w:val="28"/>
        </w:rPr>
        <w:t xml:space="preserve">                                     </w:t>
      </w:r>
      <w:r>
        <w:rPr>
          <w:rFonts w:hint="eastAsia" w:asciiTheme="minorEastAsia" w:hAnsiTheme="minorEastAsia" w:eastAsiaTheme="minorEastAsia" w:cstheme="minorEastAsia"/>
          <w:kern w:val="0"/>
          <w:sz w:val="24"/>
          <w:szCs w:val="24"/>
        </w:rPr>
        <w:t xml:space="preserve">  开户行：</w:t>
      </w:r>
    </w:p>
    <w:p>
      <w:pPr>
        <w:pStyle w:val="116"/>
        <w:snapToGrid w:val="0"/>
        <w:spacing w:line="420" w:lineRule="exact"/>
        <w:ind w:left="0" w:leftChars="0" w:firstLine="0" w:firstLineChars="0"/>
        <w:contextualSpacing/>
        <w:rPr>
          <w:rFonts w:hint="eastAsia" w:ascii="仿宋" w:hAnsi="仿宋" w:eastAsia="仿宋"/>
          <w:sz w:val="28"/>
        </w:rPr>
      </w:pPr>
    </w:p>
    <w:p>
      <w:pPr>
        <w:pStyle w:val="116"/>
        <w:snapToGrid w:val="0"/>
        <w:spacing w:line="420" w:lineRule="exact"/>
        <w:ind w:firstLine="560" w:firstLineChars="200"/>
        <w:contextualSpacing/>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2023年 月  日                            2023年  月  日</w:t>
      </w:r>
    </w:p>
    <w:p>
      <w:pPr>
        <w:spacing w:line="420" w:lineRule="exact"/>
        <w:jc w:val="center"/>
        <w:outlineLvl w:val="0"/>
        <w:rPr>
          <w:rFonts w:ascii="仿宋" w:hAnsi="仿宋" w:eastAsia="仿宋"/>
          <w:b/>
          <w:spacing w:val="40"/>
          <w:sz w:val="28"/>
          <w:szCs w:val="28"/>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tbl>
      <w:tblPr>
        <w:tblStyle w:val="52"/>
        <w:tblW w:w="8641" w:type="dxa"/>
        <w:jc w:val="center"/>
        <w:tblLayout w:type="fixed"/>
        <w:tblCellMar>
          <w:top w:w="0" w:type="dxa"/>
          <w:left w:w="0" w:type="dxa"/>
          <w:bottom w:w="0" w:type="dxa"/>
          <w:right w:w="0" w:type="dxa"/>
        </w:tblCellMar>
      </w:tblPr>
      <w:tblGrid>
        <w:gridCol w:w="1051"/>
        <w:gridCol w:w="2912"/>
        <w:gridCol w:w="709"/>
        <w:gridCol w:w="709"/>
        <w:gridCol w:w="3260"/>
      </w:tblGrid>
      <w:tr>
        <w:tblPrEx>
          <w:tblCellMar>
            <w:top w:w="0" w:type="dxa"/>
            <w:left w:w="0" w:type="dxa"/>
            <w:bottom w:w="0" w:type="dxa"/>
            <w:right w:w="0" w:type="dxa"/>
          </w:tblCellMar>
        </w:tblPrEx>
        <w:trPr>
          <w:trHeight w:val="531" w:hRule="atLeast"/>
          <w:jc w:val="center"/>
        </w:trPr>
        <w:tc>
          <w:tcPr>
            <w:tcW w:w="864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南通市妇幼保健院</w:t>
            </w:r>
            <w:r>
              <w:rPr>
                <w:rFonts w:hint="eastAsia" w:asciiTheme="minorEastAsia" w:hAnsiTheme="minorEastAsia" w:eastAsiaTheme="minorEastAsia" w:cstheme="minorEastAsia"/>
                <w:b/>
                <w:bCs/>
                <w:kern w:val="0"/>
                <w:sz w:val="24"/>
                <w:szCs w:val="24"/>
              </w:rPr>
              <w:t>污水处理运维考核表</w:t>
            </w:r>
          </w:p>
        </w:tc>
      </w:tr>
      <w:tr>
        <w:tblPrEx>
          <w:tblCellMar>
            <w:top w:w="0" w:type="dxa"/>
            <w:left w:w="0" w:type="dxa"/>
            <w:bottom w:w="0" w:type="dxa"/>
            <w:right w:w="0" w:type="dxa"/>
          </w:tblCellMar>
        </w:tblPrEx>
        <w:trPr>
          <w:trHeight w:val="363" w:hRule="atLeast"/>
          <w:jc w:val="center"/>
        </w:trPr>
        <w:tc>
          <w:tcPr>
            <w:tcW w:w="1051"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考核内容</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考核要求</w:t>
            </w:r>
          </w:p>
        </w:tc>
        <w:tc>
          <w:tcPr>
            <w:tcW w:w="709" w:type="dxa"/>
            <w:tcBorders>
              <w:top w:val="nil"/>
              <w:left w:val="nil"/>
              <w:bottom w:val="single" w:color="auto"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709"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扣分</w:t>
            </w:r>
          </w:p>
        </w:tc>
        <w:tc>
          <w:tcPr>
            <w:tcW w:w="3260"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CellMar>
            <w:top w:w="0" w:type="dxa"/>
            <w:left w:w="0" w:type="dxa"/>
            <w:bottom w:w="0" w:type="dxa"/>
            <w:right w:w="0" w:type="dxa"/>
          </w:tblCellMar>
        </w:tblPrEx>
        <w:trPr>
          <w:trHeight w:val="559"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污水处理达标排放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480"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故障、异常处理响应及时性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24小时人员在岗在位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台账完整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设备定时检查、保养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统一着装、个人防护到位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工作区域环境卫生良好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遵守医院各项规章制度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配合完成院方其他合理安排</w:t>
            </w: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bl>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51"/>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2"/>
        <w:rPr>
          <w:rFonts w:hint="eastAsia"/>
          <w:lang w:val="en-US" w:eastAsia="zh-CN"/>
        </w:rPr>
      </w:pPr>
    </w:p>
    <w:p>
      <w:pPr>
        <w:pStyle w:val="51"/>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pStyle w:val="51"/>
        <w:rPr>
          <w:rFonts w:hint="eastAsia" w:ascii="宋体" w:hAnsi="宋体" w:eastAsia="宋体" w:cs="Times New Roman"/>
          <w:b/>
          <w:bCs/>
          <w:sz w:val="24"/>
          <w:szCs w:val="24"/>
          <w:lang w:val="en-US" w:eastAsia="zh-CN"/>
        </w:rPr>
      </w:pPr>
    </w:p>
    <w:p>
      <w:pPr>
        <w:rPr>
          <w:rFonts w:hint="eastAsia"/>
          <w:lang w:val="en-US" w:eastAsia="zh-CN"/>
        </w:rPr>
      </w:pPr>
    </w:p>
    <w:p>
      <w:pPr>
        <w:pStyle w:val="51"/>
        <w:numPr>
          <w:ilvl w:val="0"/>
          <w:numId w:val="0"/>
        </w:numPr>
        <w:ind w:leftChars="0"/>
        <w:jc w:val="both"/>
        <w:rPr>
          <w:rFonts w:ascii="宋体" w:hAnsi="宋体" w:cs="宋体"/>
          <w:b/>
          <w:color w:val="000000"/>
          <w:w w:val="80"/>
          <w:sz w:val="44"/>
          <w:szCs w:val="44"/>
        </w:rPr>
      </w:pPr>
      <w:r>
        <w:rPr>
          <w:rFonts w:hint="eastAsia" w:ascii="宋体" w:hAnsi="宋体" w:cs="宋体"/>
          <w:b/>
          <w:color w:val="000000"/>
          <w:w w:val="80"/>
          <w:sz w:val="44"/>
          <w:szCs w:val="44"/>
          <w:lang w:val="en-US" w:eastAsia="zh-CN"/>
        </w:rPr>
        <w:t xml:space="preserve">                  </w:t>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w:t>
      </w:r>
      <w:r>
        <w:rPr>
          <w:rFonts w:hint="eastAsia" w:ascii="宋体" w:hAnsi="宋体" w:cs="宋体"/>
          <w:color w:val="auto"/>
          <w:sz w:val="24"/>
          <w:szCs w:val="24"/>
        </w:rPr>
        <w:t>同一式肆份，</w:t>
      </w:r>
      <w:r>
        <w:rPr>
          <w:rFonts w:hint="eastAsia" w:ascii="宋体" w:hAnsi="宋体" w:cs="宋体"/>
          <w:b w:val="0"/>
          <w:bCs w:val="0"/>
          <w:color w:val="auto"/>
          <w:sz w:val="24"/>
          <w:szCs w:val="24"/>
          <w:highlight w:val="none"/>
          <w:lang w:val="en-US" w:eastAsia="zh-CN"/>
        </w:rPr>
        <w:t>甲</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叁</w:t>
      </w:r>
      <w:r>
        <w:rPr>
          <w:rFonts w:hint="eastAsia" w:ascii="宋体" w:hAnsi="宋体" w:cs="宋体"/>
          <w:b w:val="0"/>
          <w:bCs w:val="0"/>
          <w:color w:val="auto"/>
          <w:sz w:val="24"/>
          <w:szCs w:val="24"/>
          <w:highlight w:val="none"/>
        </w:rPr>
        <w:t>份，</w:t>
      </w:r>
      <w:r>
        <w:rPr>
          <w:rFonts w:hint="eastAsia" w:ascii="宋体" w:hAnsi="宋体" w:cs="宋体"/>
          <w:b w:val="0"/>
          <w:bCs w:val="0"/>
          <w:color w:val="auto"/>
          <w:sz w:val="24"/>
          <w:szCs w:val="24"/>
          <w:highlight w:val="none"/>
          <w:lang w:val="en-US" w:eastAsia="zh-CN"/>
        </w:rPr>
        <w:t>乙</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壹</w:t>
      </w:r>
      <w:r>
        <w:rPr>
          <w:rFonts w:hint="eastAsia" w:ascii="宋体" w:hAnsi="宋体" w:cs="宋体"/>
          <w:b w:val="0"/>
          <w:bCs w:val="0"/>
          <w:color w:val="auto"/>
          <w:sz w:val="24"/>
          <w:szCs w:val="24"/>
          <w:highlight w:val="none"/>
        </w:rPr>
        <w:t>份</w:t>
      </w:r>
      <w:r>
        <w:rPr>
          <w:rFonts w:hint="eastAsia" w:ascii="宋体" w:hAnsi="宋体"/>
          <w:color w:val="auto"/>
          <w:sz w:val="24"/>
          <w:szCs w:val="24"/>
        </w:rPr>
        <w:t>，其他存</w:t>
      </w:r>
      <w:r>
        <w:rPr>
          <w:rFonts w:hint="eastAsia" w:ascii="宋体" w:hAnsi="宋体"/>
          <w:sz w:val="24"/>
          <w:szCs w:val="24"/>
        </w:rPr>
        <w:t>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3"/>
        <w:keepNext w:val="0"/>
        <w:keepLines w:val="0"/>
        <w:numPr>
          <w:ilvl w:val="0"/>
          <w:numId w:val="0"/>
        </w:numPr>
        <w:snapToGrid w:val="0"/>
        <w:spacing w:before="0" w:after="156" w:afterLines="50" w:line="520" w:lineRule="exact"/>
        <w:ind w:left="420"/>
        <w:jc w:val="center"/>
        <w:rPr>
          <w:rFonts w:ascii="宋体"/>
        </w:rPr>
      </w:pPr>
      <w:bookmarkStart w:id="79"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79"/>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8"/>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9"/>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b/>
          <w:bCs/>
          <w:sz w:val="24"/>
          <w:szCs w:val="24"/>
        </w:rPr>
      </w:pPr>
      <w:r>
        <w:rPr>
          <w:rFonts w:hint="eastAsia" w:ascii="宋体" w:hAnsi="宋体" w:cs="宋体"/>
          <w:sz w:val="24"/>
          <w:szCs w:val="24"/>
        </w:rPr>
        <w:t>4、</w:t>
      </w:r>
      <w:r>
        <w:rPr>
          <w:rFonts w:hint="eastAsia" w:ascii="宋体" w:hAnsi="宋体" w:cs="宋体"/>
          <w:b/>
          <w:bCs/>
          <w:sz w:val="24"/>
          <w:szCs w:val="24"/>
        </w:rPr>
        <w:t>拟派驻的项目负责人</w:t>
      </w:r>
      <w:r>
        <w:rPr>
          <w:rFonts w:hint="eastAsia" w:ascii="宋体" w:hAnsi="宋体" w:cs="宋体"/>
          <w:b/>
          <w:bCs/>
          <w:sz w:val="24"/>
          <w:szCs w:val="24"/>
          <w:lang w:eastAsia="zh-CN"/>
        </w:rPr>
        <w:t>：需提供</w:t>
      </w:r>
      <w:r>
        <w:rPr>
          <w:rFonts w:hint="eastAsia" w:ascii="宋体" w:hAnsi="宋体" w:cs="宋体"/>
          <w:b/>
          <w:bCs/>
          <w:sz w:val="24"/>
          <w:szCs w:val="24"/>
        </w:rPr>
        <w:t>环境保护部门颁发的环境污染治理设施运营人员考试合格证书；拟派驻的项目负责人为供应商正式员工，需提供劳动合同及供应商为其缴纳的202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月的社会保险缴费清单。</w:t>
      </w:r>
    </w:p>
    <w:p>
      <w:pPr>
        <w:pStyle w:val="51"/>
        <w:snapToGrid w:val="0"/>
        <w:spacing w:after="0" w:line="360" w:lineRule="auto"/>
        <w:ind w:firstLine="480"/>
        <w:rPr>
          <w:rFonts w:hint="eastAsia"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w:t>
      </w:r>
      <w:r>
        <w:rPr>
          <w:rFonts w:hint="eastAsia" w:ascii="宋体" w:hAnsi="宋体" w:cs="宋体"/>
          <w:sz w:val="24"/>
          <w:szCs w:val="24"/>
          <w:lang w:val="en-US" w:eastAsia="zh-CN"/>
        </w:rPr>
        <w:t>2023年以来</w:t>
      </w:r>
      <w:r>
        <w:rPr>
          <w:rFonts w:hint="eastAsia" w:ascii="宋体" w:hAnsi="宋体" w:cs="宋体"/>
          <w:sz w:val="24"/>
          <w:szCs w:val="24"/>
        </w:rPr>
        <w:t>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9</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3</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7"/>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ascii="宋体"/>
          <w:b/>
          <w:bCs/>
          <w:sz w:val="28"/>
          <w:szCs w:val="28"/>
        </w:rPr>
      </w:pPr>
      <w:r>
        <w:br w:type="page"/>
      </w:r>
      <w:r>
        <w:rPr>
          <w:rFonts w:hint="eastAsia" w:ascii="宋体" w:hAnsi="宋体" w:cs="宋体"/>
          <w:b/>
          <w:bCs/>
          <w:sz w:val="28"/>
          <w:szCs w:val="28"/>
          <w:lang w:val="en-US" w:eastAsia="zh-CN"/>
        </w:rPr>
        <w:t>5</w:t>
      </w:r>
      <w:r>
        <w:rPr>
          <w:rFonts w:hint="eastAsia" w:ascii="宋体" w:hAnsi="宋体" w:cs="宋体"/>
          <w:b/>
          <w:bCs/>
          <w:sz w:val="28"/>
          <w:szCs w:val="28"/>
        </w:rPr>
        <w:t>、无重大违法记录声明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lang w:val="en-US" w:eastAsia="zh-CN"/>
        </w:rPr>
        <w:t>8</w:t>
      </w:r>
      <w:r>
        <w:rPr>
          <w:rFonts w:hint="eastAsia" w:ascii="宋体" w:hAnsi="宋体" w:cs="宋体"/>
          <w:b/>
          <w:bCs/>
          <w:sz w:val="28"/>
          <w:szCs w:val="28"/>
        </w:rPr>
        <w:t>、磋商响应报价总表</w:t>
      </w:r>
    </w:p>
    <w:p>
      <w:pPr>
        <w:pStyle w:val="17"/>
        <w:snapToGrid w:val="0"/>
        <w:textAlignment w:val="baseline"/>
      </w:pPr>
    </w:p>
    <w:tbl>
      <w:tblPr>
        <w:tblStyle w:val="52"/>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南通市妇幼保健院污水处理站社会化运维托管项目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sz w:val="20"/>
                <w:szCs w:val="22"/>
              </w:rPr>
            </w:pPr>
            <w:r>
              <w:rPr>
                <w:rFonts w:hint="eastAsia" w:ascii="宋体" w:hAnsi="宋体" w:cs="宋体"/>
                <w:b/>
                <w:bCs/>
                <w:sz w:val="24"/>
                <w:szCs w:val="24"/>
                <w:highlight w:val="none"/>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完全接受并响应本项目磋商文件的要求。</w:t>
            </w:r>
          </w:p>
        </w:tc>
      </w:tr>
    </w:tbl>
    <w:p>
      <w:pPr>
        <w:pStyle w:val="51"/>
        <w:snapToGrid w:val="0"/>
        <w:ind w:firstLine="0" w:firstLineChars="0"/>
        <w:textAlignment w:val="baseline"/>
        <w:rPr>
          <w:szCs w:val="24"/>
        </w:rPr>
      </w:pPr>
    </w:p>
    <w:p>
      <w:pPr>
        <w:pStyle w:val="113"/>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left="0" w:leftChars="0" w:firstLine="470" w:firstLineChars="195"/>
        <w:outlineLvl w:val="1"/>
        <w:rPr>
          <w:rFonts w:hint="eastAsia" w:ascii="宋体" w:hAnsi="宋体" w:cs="宋体"/>
          <w:b/>
          <w:bCs/>
          <w:sz w:val="24"/>
          <w:szCs w:val="24"/>
        </w:rPr>
      </w:pPr>
      <w:r>
        <w:rPr>
          <w:rFonts w:hint="eastAsia" w:hAnsi="宋体" w:cs="宋体"/>
          <w:b/>
          <w:sz w:val="24"/>
        </w:rPr>
        <w:t>3</w:t>
      </w:r>
      <w:r>
        <w:rPr>
          <w:rFonts w:hint="eastAsia" w:ascii="宋体" w:hAnsi="宋体" w:cs="宋体"/>
          <w:b/>
          <w:bCs/>
          <w:sz w:val="24"/>
          <w:szCs w:val="24"/>
        </w:rPr>
        <w:t>、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3"/>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3"/>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3"/>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lang w:val="en-US" w:eastAsia="zh-CN"/>
        </w:rPr>
        <w:t>9</w:t>
      </w:r>
      <w:r>
        <w:rPr>
          <w:rFonts w:hint="eastAsia" w:hAnsi="宋体"/>
          <w:b/>
          <w:bCs/>
          <w:sz w:val="24"/>
          <w:szCs w:val="24"/>
        </w:rPr>
        <w:t>、中小企业声明函（格式）</w:t>
      </w:r>
    </w:p>
    <w:p>
      <w:pPr>
        <w:pStyle w:val="51"/>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南通市妇幼保健院污水处理站社会化运维托管项目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南通市妇幼保健院污水处理站社会化运维托管项目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17"/>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90"/>
        <w:rPr>
          <w:rFonts w:hint="eastAsia" w:ascii="宋体" w:eastAsia="宋体" w:cs="宋体"/>
          <w:sz w:val="24"/>
          <w:szCs w:val="24"/>
        </w:rPr>
      </w:pPr>
    </w:p>
    <w:p>
      <w:pPr>
        <w:pStyle w:val="92"/>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17"/>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17"/>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17"/>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51"/>
        <w:rPr>
          <w:b/>
          <w:bCs/>
        </w:rPr>
      </w:pPr>
    </w:p>
    <w:p>
      <w:pPr>
        <w:pStyle w:val="51"/>
        <w:rPr>
          <w:b/>
          <w:bCs/>
        </w:rPr>
      </w:pPr>
    </w:p>
    <w:p>
      <w:pPr>
        <w:pStyle w:val="51"/>
        <w:ind w:left="0" w:leftChars="0" w:firstLine="0" w:firstLineChars="0"/>
        <w:rPr>
          <w:b/>
          <w:bCs/>
        </w:rPr>
      </w:pPr>
    </w:p>
    <w:sectPr>
      <w:footerReference r:id="rId6"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w:t>
    </w:r>
    <w:r>
      <w:t xml:space="preserve"> 14 -</w:t>
    </w:r>
    <w:r>
      <w:fldChar w:fldCharType="end"/>
    </w:r>
  </w:p>
  <w:p>
    <w:pPr>
      <w:pStyle w:val="3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sz w:val="18"/>
        <w:szCs w:val="18"/>
        <w:u w:val="single"/>
        <w:lang w:eastAsia="zh-CN"/>
      </w:rPr>
      <w:t>南通市妇幼保健院污水处理站社会化运维托管项目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F987E0F1"/>
    <w:multiLevelType w:val="singleLevel"/>
    <w:tmpl w:val="F987E0F1"/>
    <w:lvl w:ilvl="0" w:tentative="0">
      <w:start w:val="1"/>
      <w:numFmt w:val="decimal"/>
      <w:suff w:val="nothing"/>
      <w:lvlText w:val="%1、"/>
      <w:lvlJc w:val="left"/>
    </w:lvl>
  </w:abstractNum>
  <w:abstractNum w:abstractNumId="2">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3252E996"/>
    <w:multiLevelType w:val="singleLevel"/>
    <w:tmpl w:val="3252E996"/>
    <w:lvl w:ilvl="0" w:tentative="0">
      <w:start w:val="2"/>
      <w:numFmt w:val="decimal"/>
      <w:suff w:val="nothing"/>
      <w:lvlText w:val="%1、"/>
      <w:lvlJc w:val="left"/>
      <w:pPr>
        <w:textAlignment w:val="baseline"/>
      </w:pPr>
    </w:lvl>
  </w:abstractNum>
  <w:abstractNum w:abstractNumId="6">
    <w:nsid w:val="358A0AB6"/>
    <w:multiLevelType w:val="singleLevel"/>
    <w:tmpl w:val="358A0AB6"/>
    <w:lvl w:ilvl="0" w:tentative="0">
      <w:start w:val="7"/>
      <w:numFmt w:val="chineseCounting"/>
      <w:suff w:val="nothing"/>
      <w:lvlText w:val="%1、"/>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abstractNum w:abstractNumId="8">
    <w:nsid w:val="6F1A29ED"/>
    <w:multiLevelType w:val="singleLevel"/>
    <w:tmpl w:val="6F1A29ED"/>
    <w:lvl w:ilvl="0" w:tentative="0">
      <w:start w:val="1"/>
      <w:numFmt w:val="chineseCounting"/>
      <w:suff w:val="nothing"/>
      <w:lvlText w:val="%1、"/>
      <w:lvlJc w:val="left"/>
      <w:rPr>
        <w:rFonts w:hint="eastAsia"/>
      </w:rPr>
    </w:lvl>
  </w:abstractNum>
  <w:num w:numId="1">
    <w:abstractNumId w:val="2"/>
  </w:num>
  <w:num w:numId="2">
    <w:abstractNumId w:val="0"/>
  </w:num>
  <w:num w:numId="3">
    <w:abstractNumId w:val="6"/>
  </w:num>
  <w:num w:numId="4">
    <w:abstractNumId w:val="7"/>
  </w:num>
  <w:num w:numId="5">
    <w:abstractNumId w:val="4"/>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6C2D4F"/>
    <w:rsid w:val="0190158D"/>
    <w:rsid w:val="01B77047"/>
    <w:rsid w:val="0203063D"/>
    <w:rsid w:val="02043122"/>
    <w:rsid w:val="02055635"/>
    <w:rsid w:val="02117D9A"/>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63B5D"/>
    <w:rsid w:val="052C29BF"/>
    <w:rsid w:val="05337A63"/>
    <w:rsid w:val="055C5785"/>
    <w:rsid w:val="05913412"/>
    <w:rsid w:val="05F06637"/>
    <w:rsid w:val="062C7228"/>
    <w:rsid w:val="06517EE9"/>
    <w:rsid w:val="06631EC2"/>
    <w:rsid w:val="06C55EEB"/>
    <w:rsid w:val="06C56AD4"/>
    <w:rsid w:val="06CE6EF4"/>
    <w:rsid w:val="07004918"/>
    <w:rsid w:val="070B6221"/>
    <w:rsid w:val="07654B87"/>
    <w:rsid w:val="07866B35"/>
    <w:rsid w:val="07BA720E"/>
    <w:rsid w:val="07CB7156"/>
    <w:rsid w:val="07E13B30"/>
    <w:rsid w:val="07EE2CA7"/>
    <w:rsid w:val="07EF709A"/>
    <w:rsid w:val="081F2D4C"/>
    <w:rsid w:val="084E2ACF"/>
    <w:rsid w:val="084F19C0"/>
    <w:rsid w:val="08635040"/>
    <w:rsid w:val="08A83B98"/>
    <w:rsid w:val="08B2562B"/>
    <w:rsid w:val="08B5584D"/>
    <w:rsid w:val="08BC41C1"/>
    <w:rsid w:val="08F85810"/>
    <w:rsid w:val="09190838"/>
    <w:rsid w:val="095C7B83"/>
    <w:rsid w:val="098F731B"/>
    <w:rsid w:val="0996625D"/>
    <w:rsid w:val="09DE2A70"/>
    <w:rsid w:val="0A1F4EA7"/>
    <w:rsid w:val="0A8F047A"/>
    <w:rsid w:val="0AB51489"/>
    <w:rsid w:val="0ABF0DA2"/>
    <w:rsid w:val="0ACE0B6C"/>
    <w:rsid w:val="0AEE6792"/>
    <w:rsid w:val="0B33524B"/>
    <w:rsid w:val="0BB73761"/>
    <w:rsid w:val="0BD17250"/>
    <w:rsid w:val="0BE64801"/>
    <w:rsid w:val="0C7965AF"/>
    <w:rsid w:val="0C8E3524"/>
    <w:rsid w:val="0C95751F"/>
    <w:rsid w:val="0CBE378C"/>
    <w:rsid w:val="0CD426C0"/>
    <w:rsid w:val="0D63355E"/>
    <w:rsid w:val="0D6402AD"/>
    <w:rsid w:val="0D6E00F5"/>
    <w:rsid w:val="0D775AA1"/>
    <w:rsid w:val="0DE27351"/>
    <w:rsid w:val="0DF5231E"/>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0F7B9B"/>
    <w:rsid w:val="11316C22"/>
    <w:rsid w:val="11604A5C"/>
    <w:rsid w:val="1176169D"/>
    <w:rsid w:val="117C68E7"/>
    <w:rsid w:val="118263A1"/>
    <w:rsid w:val="119603EC"/>
    <w:rsid w:val="11A331FA"/>
    <w:rsid w:val="11A87B15"/>
    <w:rsid w:val="11C224F8"/>
    <w:rsid w:val="11DA3D05"/>
    <w:rsid w:val="11DD1A47"/>
    <w:rsid w:val="120038A1"/>
    <w:rsid w:val="121A67F7"/>
    <w:rsid w:val="121E029E"/>
    <w:rsid w:val="122338FE"/>
    <w:rsid w:val="124D4083"/>
    <w:rsid w:val="12701BF6"/>
    <w:rsid w:val="1287461C"/>
    <w:rsid w:val="12D777F2"/>
    <w:rsid w:val="12DE47E6"/>
    <w:rsid w:val="12F639E2"/>
    <w:rsid w:val="133D1517"/>
    <w:rsid w:val="136532E8"/>
    <w:rsid w:val="13CC1FE7"/>
    <w:rsid w:val="141407F8"/>
    <w:rsid w:val="14747306"/>
    <w:rsid w:val="14953687"/>
    <w:rsid w:val="14D251DA"/>
    <w:rsid w:val="155913AC"/>
    <w:rsid w:val="15BC3411"/>
    <w:rsid w:val="1614567C"/>
    <w:rsid w:val="16271ECD"/>
    <w:rsid w:val="162D1A17"/>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302BE8"/>
    <w:rsid w:val="1B63274F"/>
    <w:rsid w:val="1B751D18"/>
    <w:rsid w:val="1B837689"/>
    <w:rsid w:val="1BA35581"/>
    <w:rsid w:val="1BBC1B6B"/>
    <w:rsid w:val="1BE1312F"/>
    <w:rsid w:val="1BE54206"/>
    <w:rsid w:val="1BFD0B5F"/>
    <w:rsid w:val="1C1224F7"/>
    <w:rsid w:val="1C211FCC"/>
    <w:rsid w:val="1C215860"/>
    <w:rsid w:val="1C3B088A"/>
    <w:rsid w:val="1CD120FF"/>
    <w:rsid w:val="1CDF6B41"/>
    <w:rsid w:val="1CED6CF9"/>
    <w:rsid w:val="1D28626C"/>
    <w:rsid w:val="1D2F3F5E"/>
    <w:rsid w:val="1D3121A1"/>
    <w:rsid w:val="1D3C1D18"/>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AC2D10"/>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2A0B1C"/>
    <w:rsid w:val="245A05CA"/>
    <w:rsid w:val="247B4D12"/>
    <w:rsid w:val="24895FF2"/>
    <w:rsid w:val="24B66F7B"/>
    <w:rsid w:val="24B95CB1"/>
    <w:rsid w:val="24FD1D8D"/>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7102C"/>
    <w:rsid w:val="2AFB54C5"/>
    <w:rsid w:val="2B055F8A"/>
    <w:rsid w:val="2B0C03A4"/>
    <w:rsid w:val="2B200651"/>
    <w:rsid w:val="2B3841A3"/>
    <w:rsid w:val="2B6F658C"/>
    <w:rsid w:val="2BA33DC6"/>
    <w:rsid w:val="2BF16B92"/>
    <w:rsid w:val="2D511017"/>
    <w:rsid w:val="2DA67B66"/>
    <w:rsid w:val="2DFD7CDE"/>
    <w:rsid w:val="2E8818C4"/>
    <w:rsid w:val="2E922D73"/>
    <w:rsid w:val="2EB45BB2"/>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40197F"/>
    <w:rsid w:val="31841167"/>
    <w:rsid w:val="31962F66"/>
    <w:rsid w:val="31C81974"/>
    <w:rsid w:val="31F6203D"/>
    <w:rsid w:val="32476D3D"/>
    <w:rsid w:val="32484C4E"/>
    <w:rsid w:val="32605D06"/>
    <w:rsid w:val="32E90B44"/>
    <w:rsid w:val="33A43C30"/>
    <w:rsid w:val="33CE2C57"/>
    <w:rsid w:val="33DE6B77"/>
    <w:rsid w:val="33EC512B"/>
    <w:rsid w:val="341C101E"/>
    <w:rsid w:val="346F43F1"/>
    <w:rsid w:val="347D281C"/>
    <w:rsid w:val="349B3370"/>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95E18"/>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46F3A"/>
    <w:rsid w:val="3ABD3CF2"/>
    <w:rsid w:val="3AD23706"/>
    <w:rsid w:val="3AD54D74"/>
    <w:rsid w:val="3ADF1772"/>
    <w:rsid w:val="3AE83617"/>
    <w:rsid w:val="3AFC44E4"/>
    <w:rsid w:val="3B377223"/>
    <w:rsid w:val="3C200787"/>
    <w:rsid w:val="3CBF4F2E"/>
    <w:rsid w:val="3CE43D58"/>
    <w:rsid w:val="3D056DE5"/>
    <w:rsid w:val="3D150381"/>
    <w:rsid w:val="3D242DC0"/>
    <w:rsid w:val="3D3357D0"/>
    <w:rsid w:val="3D3861CD"/>
    <w:rsid w:val="3D444D9B"/>
    <w:rsid w:val="3D603B0C"/>
    <w:rsid w:val="3D9A53D2"/>
    <w:rsid w:val="3DA82763"/>
    <w:rsid w:val="3E860BED"/>
    <w:rsid w:val="3EB24A80"/>
    <w:rsid w:val="3EF344A0"/>
    <w:rsid w:val="3F0C5499"/>
    <w:rsid w:val="3F106D4D"/>
    <w:rsid w:val="3F266B61"/>
    <w:rsid w:val="3F271710"/>
    <w:rsid w:val="3F564F2E"/>
    <w:rsid w:val="3F5A618E"/>
    <w:rsid w:val="403C0BE5"/>
    <w:rsid w:val="406311E6"/>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D61449"/>
    <w:rsid w:val="45EA2CE8"/>
    <w:rsid w:val="45F74EDF"/>
    <w:rsid w:val="4600059B"/>
    <w:rsid w:val="46160E93"/>
    <w:rsid w:val="462D006C"/>
    <w:rsid w:val="46342EDD"/>
    <w:rsid w:val="464E252C"/>
    <w:rsid w:val="466B0DF4"/>
    <w:rsid w:val="46AB5174"/>
    <w:rsid w:val="46B700F8"/>
    <w:rsid w:val="46BB44BC"/>
    <w:rsid w:val="46D272F4"/>
    <w:rsid w:val="4700042C"/>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C0E3F"/>
    <w:rsid w:val="4CEA5082"/>
    <w:rsid w:val="4D2B53D3"/>
    <w:rsid w:val="4D421E62"/>
    <w:rsid w:val="4D662315"/>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36CA6"/>
    <w:rsid w:val="549E4993"/>
    <w:rsid w:val="54C51393"/>
    <w:rsid w:val="54D9333A"/>
    <w:rsid w:val="54ED6EEB"/>
    <w:rsid w:val="55966BD2"/>
    <w:rsid w:val="55D07DDD"/>
    <w:rsid w:val="566E223B"/>
    <w:rsid w:val="56B23CA6"/>
    <w:rsid w:val="570755A7"/>
    <w:rsid w:val="573072C4"/>
    <w:rsid w:val="57471187"/>
    <w:rsid w:val="576F023D"/>
    <w:rsid w:val="577B6EE4"/>
    <w:rsid w:val="57AC5A21"/>
    <w:rsid w:val="57D2146B"/>
    <w:rsid w:val="57EA080C"/>
    <w:rsid w:val="57EF1F3E"/>
    <w:rsid w:val="580A1AEF"/>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AAB0E70"/>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C14B3"/>
    <w:rsid w:val="632D650D"/>
    <w:rsid w:val="63382CE9"/>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902011"/>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B14C46"/>
    <w:rsid w:val="6AD5648B"/>
    <w:rsid w:val="6AE90C42"/>
    <w:rsid w:val="6B122298"/>
    <w:rsid w:val="6B44347E"/>
    <w:rsid w:val="6B4B7148"/>
    <w:rsid w:val="6B7409C3"/>
    <w:rsid w:val="6BC55102"/>
    <w:rsid w:val="6C026F3C"/>
    <w:rsid w:val="6C1769F6"/>
    <w:rsid w:val="6C19025F"/>
    <w:rsid w:val="6C2C4F32"/>
    <w:rsid w:val="6C396029"/>
    <w:rsid w:val="6C3B64A7"/>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7C740E"/>
    <w:rsid w:val="708C7ADE"/>
    <w:rsid w:val="70C96F94"/>
    <w:rsid w:val="70D05D03"/>
    <w:rsid w:val="70F93881"/>
    <w:rsid w:val="711575EE"/>
    <w:rsid w:val="715349F8"/>
    <w:rsid w:val="71945E92"/>
    <w:rsid w:val="71946BA2"/>
    <w:rsid w:val="71BF1449"/>
    <w:rsid w:val="71DF3747"/>
    <w:rsid w:val="721A1FF2"/>
    <w:rsid w:val="72356C20"/>
    <w:rsid w:val="72382AB4"/>
    <w:rsid w:val="723E4008"/>
    <w:rsid w:val="725929D4"/>
    <w:rsid w:val="72A4317D"/>
    <w:rsid w:val="72AC1216"/>
    <w:rsid w:val="72B00049"/>
    <w:rsid w:val="72B70F99"/>
    <w:rsid w:val="73192710"/>
    <w:rsid w:val="732D44FD"/>
    <w:rsid w:val="73673736"/>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A35191"/>
    <w:rsid w:val="76CE603E"/>
    <w:rsid w:val="77040325"/>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B4269B8"/>
    <w:rsid w:val="7B590514"/>
    <w:rsid w:val="7B60499C"/>
    <w:rsid w:val="7B6276D7"/>
    <w:rsid w:val="7BBF0CBF"/>
    <w:rsid w:val="7BCD0EC9"/>
    <w:rsid w:val="7C0C430A"/>
    <w:rsid w:val="7C361D53"/>
    <w:rsid w:val="7C515A2B"/>
    <w:rsid w:val="7CBF1AA2"/>
    <w:rsid w:val="7CEE34AC"/>
    <w:rsid w:val="7CF92CB6"/>
    <w:rsid w:val="7D841C93"/>
    <w:rsid w:val="7D9C12B8"/>
    <w:rsid w:val="7DA92046"/>
    <w:rsid w:val="7DDF015B"/>
    <w:rsid w:val="7DEE0A06"/>
    <w:rsid w:val="7E745C2A"/>
    <w:rsid w:val="7E953F59"/>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5">
    <w:name w:val="heading 3"/>
    <w:basedOn w:val="1"/>
    <w:next w:val="6"/>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7">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8">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9">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0">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1">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2">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rPr>
  </w:style>
  <w:style w:type="paragraph" w:styleId="6">
    <w:name w:val="Normal Indent"/>
    <w:basedOn w:val="1"/>
    <w:link w:val="72"/>
    <w:qFormat/>
    <w:uiPriority w:val="99"/>
    <w:pPr>
      <w:ind w:firstLine="420"/>
    </w:p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Document Map"/>
    <w:basedOn w:val="1"/>
    <w:link w:val="73"/>
    <w:semiHidden/>
    <w:qFormat/>
    <w:uiPriority w:val="99"/>
    <w:pPr>
      <w:shd w:val="clear" w:color="auto" w:fill="000080"/>
    </w:pPr>
    <w:rPr>
      <w:kern w:val="0"/>
      <w:sz w:val="2"/>
      <w:szCs w:val="2"/>
    </w:rPr>
  </w:style>
  <w:style w:type="paragraph" w:styleId="16">
    <w:name w:val="annotation text"/>
    <w:basedOn w:val="1"/>
    <w:link w:val="74"/>
    <w:semiHidden/>
    <w:qFormat/>
    <w:uiPriority w:val="99"/>
    <w:pPr>
      <w:jc w:val="left"/>
    </w:pPr>
  </w:style>
  <w:style w:type="paragraph" w:styleId="17">
    <w:name w:val="Body Text"/>
    <w:basedOn w:val="1"/>
    <w:next w:val="1"/>
    <w:link w:val="62"/>
    <w:qFormat/>
    <w:uiPriority w:val="99"/>
    <w:rPr>
      <w:kern w:val="0"/>
    </w:rPr>
  </w:style>
  <w:style w:type="paragraph" w:styleId="18">
    <w:name w:val="Body Text Indent"/>
    <w:basedOn w:val="1"/>
    <w:next w:val="19"/>
    <w:link w:val="75"/>
    <w:qFormat/>
    <w:uiPriority w:val="99"/>
    <w:pPr>
      <w:spacing w:after="156"/>
      <w:ind w:firstLine="480"/>
    </w:pPr>
    <w:rPr>
      <w:sz w:val="24"/>
      <w:szCs w:val="24"/>
    </w:rPr>
  </w:style>
  <w:style w:type="paragraph" w:styleId="19">
    <w:name w:val="envelope return"/>
    <w:basedOn w:val="1"/>
    <w:qFormat/>
    <w:locked/>
    <w:uiPriority w:val="99"/>
    <w:pPr>
      <w:snapToGrid w:val="0"/>
    </w:pPr>
    <w:rPr>
      <w:rFonts w:ascii="Arial" w:hAnsi="Arial" w:cs="Arial"/>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link w:val="76"/>
    <w:qFormat/>
    <w:uiPriority w:val="99"/>
    <w:rPr>
      <w:rFonts w:ascii="宋体" w:hAnsi="Courier New"/>
      <w:kern w:val="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77"/>
    <w:qFormat/>
    <w:uiPriority w:val="99"/>
    <w:pPr>
      <w:widowControl/>
      <w:ind w:left="100"/>
      <w:jc w:val="left"/>
    </w:pPr>
    <w:rPr>
      <w:kern w:val="0"/>
    </w:rPr>
  </w:style>
  <w:style w:type="paragraph" w:styleId="28">
    <w:name w:val="Body Text Indent 2"/>
    <w:basedOn w:val="1"/>
    <w:link w:val="78"/>
    <w:qFormat/>
    <w:uiPriority w:val="99"/>
    <w:pPr>
      <w:ind w:left="1436" w:leftChars="684"/>
    </w:pPr>
    <w:rPr>
      <w:kern w:val="0"/>
    </w:rPr>
  </w:style>
  <w:style w:type="paragraph" w:styleId="29">
    <w:name w:val="List Continue 5"/>
    <w:basedOn w:val="1"/>
    <w:qFormat/>
    <w:uiPriority w:val="99"/>
    <w:pPr>
      <w:spacing w:after="120"/>
      <w:ind w:left="2100" w:leftChars="1000"/>
    </w:pPr>
  </w:style>
  <w:style w:type="paragraph" w:styleId="30">
    <w:name w:val="Balloon Text"/>
    <w:basedOn w:val="1"/>
    <w:link w:val="79"/>
    <w:semiHidden/>
    <w:qFormat/>
    <w:uiPriority w:val="99"/>
    <w:rPr>
      <w:sz w:val="18"/>
      <w:szCs w:val="18"/>
    </w:rPr>
  </w:style>
  <w:style w:type="paragraph" w:styleId="31">
    <w:name w:val="footer"/>
    <w:basedOn w:val="1"/>
    <w:link w:val="80"/>
    <w:qFormat/>
    <w:uiPriority w:val="99"/>
    <w:pPr>
      <w:tabs>
        <w:tab w:val="center" w:pos="4153"/>
        <w:tab w:val="right" w:pos="8306"/>
      </w:tabs>
      <w:snapToGrid w:val="0"/>
      <w:jc w:val="left"/>
    </w:pPr>
    <w:rPr>
      <w:sz w:val="18"/>
      <w:szCs w:val="18"/>
    </w:rPr>
  </w:style>
  <w:style w:type="paragraph" w:styleId="32">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4">
    <w:name w:val="List Continue 4"/>
    <w:basedOn w:val="1"/>
    <w:qFormat/>
    <w:uiPriority w:val="99"/>
    <w:pPr>
      <w:spacing w:after="120"/>
      <w:ind w:left="1680" w:leftChars="800"/>
    </w:pPr>
  </w:style>
  <w:style w:type="paragraph" w:styleId="35">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6">
    <w:name w:val="List"/>
    <w:basedOn w:val="1"/>
    <w:qFormat/>
    <w:uiPriority w:val="99"/>
    <w:pPr>
      <w:ind w:left="200" w:hanging="200" w:hangingChars="200"/>
    </w:pPr>
  </w:style>
  <w:style w:type="paragraph" w:styleId="37">
    <w:name w:val="footnote text"/>
    <w:basedOn w:val="1"/>
    <w:link w:val="82"/>
    <w:semiHidden/>
    <w:qFormat/>
    <w:uiPriority w:val="99"/>
    <w:pPr>
      <w:snapToGrid w:val="0"/>
      <w:jc w:val="left"/>
    </w:pPr>
    <w:rPr>
      <w:kern w:val="0"/>
      <w:sz w:val="18"/>
      <w:szCs w:val="18"/>
    </w:rPr>
  </w:style>
  <w:style w:type="paragraph" w:styleId="38">
    <w:name w:val="toc 6"/>
    <w:basedOn w:val="1"/>
    <w:next w:val="1"/>
    <w:semiHidden/>
    <w:qFormat/>
    <w:uiPriority w:val="99"/>
    <w:pPr>
      <w:ind w:left="1050"/>
      <w:jc w:val="left"/>
    </w:pPr>
    <w:rPr>
      <w:sz w:val="18"/>
      <w:szCs w:val="18"/>
    </w:rPr>
  </w:style>
  <w:style w:type="paragraph" w:styleId="39">
    <w:name w:val="List 5"/>
    <w:basedOn w:val="1"/>
    <w:qFormat/>
    <w:uiPriority w:val="99"/>
    <w:pPr>
      <w:ind w:left="100" w:leftChars="800" w:hanging="200" w:hangingChars="200"/>
    </w:pPr>
  </w:style>
  <w:style w:type="paragraph" w:styleId="40">
    <w:name w:val="Body Text Indent 3"/>
    <w:basedOn w:val="1"/>
    <w:link w:val="83"/>
    <w:qFormat/>
    <w:uiPriority w:val="99"/>
    <w:pPr>
      <w:spacing w:after="120"/>
      <w:ind w:left="420" w:leftChars="200"/>
    </w:pPr>
    <w:rPr>
      <w:kern w:val="0"/>
      <w:sz w:val="16"/>
      <w:szCs w:val="16"/>
    </w:r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4"/>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5"/>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6"/>
    <w:next w:val="16"/>
    <w:link w:val="86"/>
    <w:semiHidden/>
    <w:qFormat/>
    <w:uiPriority w:val="99"/>
    <w:rPr>
      <w:b/>
      <w:bCs/>
    </w:rPr>
  </w:style>
  <w:style w:type="paragraph" w:styleId="50">
    <w:name w:val="Body Text First Indent"/>
    <w:basedOn w:val="17"/>
    <w:link w:val="87"/>
    <w:qFormat/>
    <w:uiPriority w:val="99"/>
    <w:pPr>
      <w:spacing w:line="360" w:lineRule="auto"/>
      <w:ind w:firstLine="482"/>
    </w:pPr>
  </w:style>
  <w:style w:type="paragraph" w:styleId="51">
    <w:name w:val="Body Text First Indent 2"/>
    <w:basedOn w:val="18"/>
    <w:next w:val="40"/>
    <w:link w:val="88"/>
    <w:qFormat/>
    <w:locked/>
    <w:uiPriority w:val="99"/>
    <w:pPr>
      <w:ind w:firstLine="420" w:firstLineChars="200"/>
    </w:pPr>
    <w:rPr>
      <w:sz w:val="21"/>
      <w:szCs w:val="21"/>
    </w:rPr>
  </w:style>
  <w:style w:type="table" w:styleId="53">
    <w:name w:val="Table Grid"/>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locked/>
    <w:uiPriority w:val="22"/>
    <w:rPr>
      <w:b/>
      <w:bCs/>
    </w:rPr>
  </w:style>
  <w:style w:type="character" w:styleId="56">
    <w:name w:val="page number"/>
    <w:qFormat/>
    <w:uiPriority w:val="99"/>
  </w:style>
  <w:style w:type="character" w:styleId="57">
    <w:name w:val="FollowedHyperlink"/>
    <w:qFormat/>
    <w:locked/>
    <w:uiPriority w:val="99"/>
    <w:rPr>
      <w:color w:val="auto"/>
      <w:u w:val="none"/>
    </w:rPr>
  </w:style>
  <w:style w:type="character" w:styleId="58">
    <w:name w:val="Hyperlink"/>
    <w:qFormat/>
    <w:uiPriority w:val="99"/>
    <w:rPr>
      <w:color w:val="auto"/>
      <w:u w:val="none"/>
    </w:rPr>
  </w:style>
  <w:style w:type="character" w:styleId="59">
    <w:name w:val="annotation reference"/>
    <w:semiHidden/>
    <w:qFormat/>
    <w:uiPriority w:val="99"/>
    <w:rPr>
      <w:sz w:val="21"/>
      <w:szCs w:val="21"/>
    </w:rPr>
  </w:style>
  <w:style w:type="character" w:styleId="60">
    <w:name w:val="footnote reference"/>
    <w:semiHidden/>
    <w:qFormat/>
    <w:uiPriority w:val="99"/>
    <w:rPr>
      <w:vertAlign w:val="superscript"/>
    </w:rPr>
  </w:style>
  <w:style w:type="paragraph" w:customStyle="1" w:styleId="61">
    <w:name w:val=" Char"/>
    <w:basedOn w:val="1"/>
    <w:qFormat/>
    <w:uiPriority w:val="0"/>
    <w:pPr>
      <w:widowControl/>
      <w:spacing w:after="160" w:afterLines="0" w:line="240" w:lineRule="exact"/>
      <w:jc w:val="left"/>
    </w:pPr>
    <w:rPr>
      <w:rFonts w:ascii="Verdana" w:hAnsi="Verdana" w:eastAsia="宋体"/>
      <w:kern w:val="0"/>
      <w:sz w:val="21"/>
      <w:lang w:eastAsia="en-US"/>
    </w:rPr>
  </w:style>
  <w:style w:type="character" w:customStyle="1" w:styleId="62">
    <w:name w:val="正文文本 Char"/>
    <w:link w:val="17"/>
    <w:semiHidden/>
    <w:qFormat/>
    <w:locked/>
    <w:uiPriority w:val="99"/>
    <w:rPr>
      <w:rFonts w:ascii="Times New Roman" w:hAnsi="Times New Roman" w:cs="Times New Roman"/>
      <w:sz w:val="21"/>
      <w:szCs w:val="21"/>
    </w:rPr>
  </w:style>
  <w:style w:type="character" w:customStyle="1" w:styleId="63">
    <w:name w:val="标题 1 Char"/>
    <w:link w:val="3"/>
    <w:qFormat/>
    <w:locked/>
    <w:uiPriority w:val="99"/>
    <w:rPr>
      <w:b/>
      <w:bCs/>
      <w:kern w:val="44"/>
      <w:sz w:val="44"/>
      <w:szCs w:val="44"/>
    </w:rPr>
  </w:style>
  <w:style w:type="character" w:customStyle="1" w:styleId="64">
    <w:name w:val="标题 2 Char"/>
    <w:link w:val="4"/>
    <w:qFormat/>
    <w:locked/>
    <w:uiPriority w:val="99"/>
    <w:rPr>
      <w:rFonts w:ascii="Arial" w:hAnsi="Arial" w:eastAsia="黑体" w:cs="Arial"/>
      <w:b/>
      <w:bCs/>
      <w:sz w:val="32"/>
      <w:szCs w:val="32"/>
    </w:rPr>
  </w:style>
  <w:style w:type="character" w:customStyle="1" w:styleId="65">
    <w:name w:val="标题 3 Char"/>
    <w:link w:val="5"/>
    <w:semiHidden/>
    <w:qFormat/>
    <w:locked/>
    <w:uiPriority w:val="99"/>
    <w:rPr>
      <w:rFonts w:ascii="Times New Roman" w:hAnsi="Times New Roman" w:cs="Times New Roman"/>
      <w:b/>
      <w:bCs/>
      <w:sz w:val="32"/>
      <w:szCs w:val="32"/>
    </w:rPr>
  </w:style>
  <w:style w:type="character" w:customStyle="1" w:styleId="66">
    <w:name w:val="标题 4 Char"/>
    <w:link w:val="7"/>
    <w:qFormat/>
    <w:locked/>
    <w:uiPriority w:val="99"/>
    <w:rPr>
      <w:rFonts w:ascii="Arial" w:hAnsi="Arial" w:eastAsia="黑体" w:cs="Arial"/>
      <w:b/>
      <w:bCs/>
      <w:kern w:val="2"/>
      <w:sz w:val="28"/>
      <w:szCs w:val="28"/>
      <w:lang w:val="en-US" w:eastAsia="zh-CN"/>
    </w:rPr>
  </w:style>
  <w:style w:type="character" w:customStyle="1" w:styleId="67">
    <w:name w:val="标题 5 Char"/>
    <w:link w:val="8"/>
    <w:semiHidden/>
    <w:qFormat/>
    <w:locked/>
    <w:uiPriority w:val="99"/>
    <w:rPr>
      <w:rFonts w:ascii="Times New Roman" w:hAnsi="Times New Roman" w:cs="Times New Roman"/>
      <w:b/>
      <w:bCs/>
      <w:sz w:val="28"/>
      <w:szCs w:val="28"/>
    </w:rPr>
  </w:style>
  <w:style w:type="character" w:customStyle="1" w:styleId="68">
    <w:name w:val="标题 6 Char"/>
    <w:link w:val="9"/>
    <w:semiHidden/>
    <w:qFormat/>
    <w:locked/>
    <w:uiPriority w:val="99"/>
    <w:rPr>
      <w:rFonts w:ascii="Cambria" w:hAnsi="Cambria" w:eastAsia="宋体" w:cs="Cambria"/>
      <w:b/>
      <w:bCs/>
      <w:sz w:val="24"/>
      <w:szCs w:val="24"/>
    </w:rPr>
  </w:style>
  <w:style w:type="character" w:customStyle="1" w:styleId="69">
    <w:name w:val="标题 7 Char"/>
    <w:link w:val="10"/>
    <w:semiHidden/>
    <w:qFormat/>
    <w:locked/>
    <w:uiPriority w:val="99"/>
    <w:rPr>
      <w:rFonts w:ascii="Times New Roman" w:hAnsi="Times New Roman" w:cs="Times New Roman"/>
      <w:b/>
      <w:bCs/>
      <w:sz w:val="24"/>
      <w:szCs w:val="24"/>
    </w:rPr>
  </w:style>
  <w:style w:type="character" w:customStyle="1" w:styleId="70">
    <w:name w:val="标题 8 Char"/>
    <w:link w:val="11"/>
    <w:semiHidden/>
    <w:qFormat/>
    <w:locked/>
    <w:uiPriority w:val="99"/>
    <w:rPr>
      <w:rFonts w:ascii="Cambria" w:hAnsi="Cambria" w:eastAsia="宋体" w:cs="Cambria"/>
      <w:sz w:val="24"/>
      <w:szCs w:val="24"/>
    </w:rPr>
  </w:style>
  <w:style w:type="character" w:customStyle="1" w:styleId="71">
    <w:name w:val="标题 9 Char"/>
    <w:link w:val="12"/>
    <w:semiHidden/>
    <w:qFormat/>
    <w:locked/>
    <w:uiPriority w:val="99"/>
    <w:rPr>
      <w:rFonts w:ascii="Cambria" w:hAnsi="Cambria" w:eastAsia="宋体" w:cs="Cambria"/>
      <w:sz w:val="21"/>
      <w:szCs w:val="21"/>
    </w:rPr>
  </w:style>
  <w:style w:type="character" w:customStyle="1" w:styleId="72">
    <w:name w:val="正文缩进 Char"/>
    <w:link w:val="6"/>
    <w:qFormat/>
    <w:locked/>
    <w:uiPriority w:val="99"/>
    <w:rPr>
      <w:kern w:val="2"/>
      <w:sz w:val="21"/>
      <w:szCs w:val="21"/>
    </w:rPr>
  </w:style>
  <w:style w:type="character" w:customStyle="1" w:styleId="73">
    <w:name w:val="文档结构图 Char"/>
    <w:link w:val="15"/>
    <w:semiHidden/>
    <w:qFormat/>
    <w:locked/>
    <w:uiPriority w:val="99"/>
    <w:rPr>
      <w:rFonts w:ascii="Times New Roman" w:hAnsi="Times New Roman" w:cs="Times New Roman"/>
      <w:sz w:val="2"/>
      <w:szCs w:val="2"/>
    </w:rPr>
  </w:style>
  <w:style w:type="character" w:customStyle="1" w:styleId="74">
    <w:name w:val="批注文字 Char"/>
    <w:link w:val="16"/>
    <w:qFormat/>
    <w:locked/>
    <w:uiPriority w:val="99"/>
    <w:rPr>
      <w:kern w:val="2"/>
      <w:sz w:val="21"/>
      <w:szCs w:val="21"/>
    </w:rPr>
  </w:style>
  <w:style w:type="character" w:customStyle="1" w:styleId="75">
    <w:name w:val="正文文本缩进 Char"/>
    <w:link w:val="18"/>
    <w:qFormat/>
    <w:locked/>
    <w:uiPriority w:val="99"/>
    <w:rPr>
      <w:kern w:val="2"/>
      <w:sz w:val="24"/>
      <w:szCs w:val="24"/>
    </w:rPr>
  </w:style>
  <w:style w:type="character" w:customStyle="1" w:styleId="76">
    <w:name w:val="纯文本 Char"/>
    <w:link w:val="25"/>
    <w:semiHidden/>
    <w:qFormat/>
    <w:locked/>
    <w:uiPriority w:val="99"/>
    <w:rPr>
      <w:rFonts w:ascii="宋体" w:hAnsi="Courier New" w:cs="宋体"/>
      <w:sz w:val="21"/>
      <w:szCs w:val="21"/>
    </w:rPr>
  </w:style>
  <w:style w:type="character" w:customStyle="1" w:styleId="77">
    <w:name w:val="日期 Char"/>
    <w:link w:val="27"/>
    <w:semiHidden/>
    <w:qFormat/>
    <w:locked/>
    <w:uiPriority w:val="99"/>
    <w:rPr>
      <w:rFonts w:ascii="Times New Roman" w:hAnsi="Times New Roman" w:cs="Times New Roman"/>
      <w:sz w:val="21"/>
      <w:szCs w:val="21"/>
    </w:rPr>
  </w:style>
  <w:style w:type="character" w:customStyle="1" w:styleId="78">
    <w:name w:val="正文文本缩进 2 Char"/>
    <w:link w:val="28"/>
    <w:semiHidden/>
    <w:qFormat/>
    <w:locked/>
    <w:uiPriority w:val="99"/>
    <w:rPr>
      <w:rFonts w:ascii="Times New Roman" w:hAnsi="Times New Roman" w:cs="Times New Roman"/>
      <w:sz w:val="21"/>
      <w:szCs w:val="21"/>
    </w:rPr>
  </w:style>
  <w:style w:type="character" w:customStyle="1" w:styleId="79">
    <w:name w:val="批注框文本 Char"/>
    <w:link w:val="30"/>
    <w:qFormat/>
    <w:locked/>
    <w:uiPriority w:val="99"/>
    <w:rPr>
      <w:rFonts w:eastAsia="宋体"/>
      <w:kern w:val="2"/>
      <w:sz w:val="18"/>
      <w:szCs w:val="18"/>
      <w:lang w:val="en-US" w:eastAsia="zh-CN"/>
    </w:rPr>
  </w:style>
  <w:style w:type="character" w:customStyle="1" w:styleId="80">
    <w:name w:val="页脚 Char"/>
    <w:link w:val="31"/>
    <w:qFormat/>
    <w:locked/>
    <w:uiPriority w:val="99"/>
    <w:rPr>
      <w:kern w:val="2"/>
      <w:sz w:val="18"/>
      <w:szCs w:val="18"/>
    </w:rPr>
  </w:style>
  <w:style w:type="character" w:customStyle="1" w:styleId="81">
    <w:name w:val="页眉 Char"/>
    <w:link w:val="32"/>
    <w:semiHidden/>
    <w:qFormat/>
    <w:locked/>
    <w:uiPriority w:val="99"/>
    <w:rPr>
      <w:rFonts w:ascii="Times New Roman" w:hAnsi="Times New Roman" w:cs="Times New Roman"/>
      <w:sz w:val="18"/>
      <w:szCs w:val="18"/>
    </w:rPr>
  </w:style>
  <w:style w:type="character" w:customStyle="1" w:styleId="82">
    <w:name w:val="脚注文本 Char"/>
    <w:link w:val="37"/>
    <w:semiHidden/>
    <w:qFormat/>
    <w:locked/>
    <w:uiPriority w:val="99"/>
    <w:rPr>
      <w:rFonts w:ascii="Times New Roman" w:hAnsi="Times New Roman" w:cs="Times New Roman"/>
      <w:sz w:val="18"/>
      <w:szCs w:val="18"/>
    </w:rPr>
  </w:style>
  <w:style w:type="character" w:customStyle="1" w:styleId="83">
    <w:name w:val="正文文本缩进 3 Char"/>
    <w:link w:val="40"/>
    <w:semiHidden/>
    <w:qFormat/>
    <w:locked/>
    <w:uiPriority w:val="99"/>
    <w:rPr>
      <w:rFonts w:ascii="Times New Roman" w:hAnsi="Times New Roman" w:cs="Times New Roman"/>
      <w:sz w:val="16"/>
      <w:szCs w:val="16"/>
    </w:rPr>
  </w:style>
  <w:style w:type="character" w:customStyle="1" w:styleId="84">
    <w:name w:val="正文文本 2 Char"/>
    <w:link w:val="43"/>
    <w:semiHidden/>
    <w:qFormat/>
    <w:locked/>
    <w:uiPriority w:val="99"/>
    <w:rPr>
      <w:rFonts w:ascii="Times New Roman" w:hAnsi="Times New Roman" w:cs="Times New Roman"/>
      <w:sz w:val="21"/>
      <w:szCs w:val="21"/>
    </w:rPr>
  </w:style>
  <w:style w:type="character" w:customStyle="1" w:styleId="85">
    <w:name w:val="HTML 预设格式 Char"/>
    <w:link w:val="46"/>
    <w:qFormat/>
    <w:locked/>
    <w:uiPriority w:val="99"/>
    <w:rPr>
      <w:rFonts w:ascii="Courier New" w:hAnsi="Courier New" w:cs="Courier New"/>
      <w:kern w:val="2"/>
    </w:rPr>
  </w:style>
  <w:style w:type="character" w:customStyle="1" w:styleId="86">
    <w:name w:val="批注主题 Char"/>
    <w:link w:val="49"/>
    <w:semiHidden/>
    <w:qFormat/>
    <w:locked/>
    <w:uiPriority w:val="99"/>
    <w:rPr>
      <w:rFonts w:ascii="Times New Roman" w:hAnsi="Times New Roman" w:cs="Times New Roman"/>
      <w:b/>
      <w:bCs/>
      <w:kern w:val="2"/>
      <w:sz w:val="21"/>
      <w:szCs w:val="21"/>
    </w:rPr>
  </w:style>
  <w:style w:type="character" w:customStyle="1" w:styleId="87">
    <w:name w:val="正文首行缩进 Char"/>
    <w:link w:val="50"/>
    <w:semiHidden/>
    <w:qFormat/>
    <w:locked/>
    <w:uiPriority w:val="99"/>
    <w:rPr>
      <w:rFonts w:ascii="Times New Roman" w:hAnsi="Times New Roman" w:cs="Times New Roman"/>
      <w:sz w:val="21"/>
      <w:szCs w:val="21"/>
    </w:rPr>
  </w:style>
  <w:style w:type="character" w:customStyle="1" w:styleId="88">
    <w:name w:val="正文首行缩进 2 Char"/>
    <w:link w:val="51"/>
    <w:qFormat/>
    <w:locked/>
    <w:uiPriority w:val="99"/>
    <w:rPr>
      <w:rFonts w:ascii="Times New Roman" w:hAnsi="Times New Roman" w:cs="Times New Roman"/>
      <w:kern w:val="2"/>
      <w:sz w:val="21"/>
      <w:szCs w:val="21"/>
    </w:rPr>
  </w:style>
  <w:style w:type="paragraph" w:customStyle="1" w:styleId="89">
    <w:name w:val="无间隔1"/>
    <w:qFormat/>
    <w:uiPriority w:val="0"/>
    <w:rPr>
      <w:rFonts w:ascii="Times New Roman" w:hAnsi="Times New Roman" w:eastAsia="宋体" w:cs="Times New Roman"/>
      <w:sz w:val="22"/>
      <w:szCs w:val="22"/>
      <w:lang w:val="en-US" w:eastAsia="en-US" w:bidi="en-US"/>
    </w:rPr>
  </w:style>
  <w:style w:type="paragraph" w:customStyle="1" w:styleId="90">
    <w:name w:val="一级条标题"/>
    <w:basedOn w:val="91"/>
    <w:next w:val="9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2">
    <w:name w:val="段"/>
    <w:basedOn w:val="1"/>
    <w:next w:val="1"/>
    <w:qFormat/>
    <w:uiPriority w:val="0"/>
    <w:pPr>
      <w:widowControl/>
      <w:autoSpaceDE w:val="0"/>
      <w:autoSpaceDN w:val="0"/>
      <w:ind w:firstLine="200" w:firstLineChars="200"/>
    </w:pPr>
    <w:rPr>
      <w:rFonts w:hint="eastAsia" w:ascii="宋体"/>
      <w:kern w:val="0"/>
    </w:rPr>
  </w:style>
  <w:style w:type="character" w:customStyle="1" w:styleId="93">
    <w:name w:val="font31"/>
    <w:qFormat/>
    <w:uiPriority w:val="99"/>
    <w:rPr>
      <w:rFonts w:ascii="仿宋" w:hAnsi="仿宋" w:eastAsia="仿宋" w:cs="仿宋"/>
      <w:color w:val="000000"/>
      <w:sz w:val="20"/>
      <w:szCs w:val="20"/>
      <w:u w:val="none"/>
    </w:rPr>
  </w:style>
  <w:style w:type="character" w:customStyle="1" w:styleId="94">
    <w:name w:val="font51"/>
    <w:qFormat/>
    <w:uiPriority w:val="99"/>
    <w:rPr>
      <w:rFonts w:ascii="宋体" w:hAnsi="宋体" w:eastAsia="宋体" w:cs="宋体"/>
      <w:color w:val="000000"/>
      <w:sz w:val="24"/>
      <w:szCs w:val="24"/>
      <w:u w:val="none"/>
    </w:rPr>
  </w:style>
  <w:style w:type="character" w:customStyle="1" w:styleId="95">
    <w:name w:val="font101"/>
    <w:qFormat/>
    <w:uiPriority w:val="99"/>
    <w:rPr>
      <w:rFonts w:ascii="仿宋" w:hAnsi="仿宋" w:eastAsia="仿宋" w:cs="仿宋"/>
      <w:color w:val="000000"/>
      <w:sz w:val="20"/>
      <w:szCs w:val="20"/>
      <w:u w:val="none"/>
    </w:rPr>
  </w:style>
  <w:style w:type="character" w:customStyle="1" w:styleId="96">
    <w:name w:val="font111"/>
    <w:qFormat/>
    <w:uiPriority w:val="99"/>
    <w:rPr>
      <w:rFonts w:ascii="宋体" w:hAnsi="宋体" w:eastAsia="宋体" w:cs="宋体"/>
      <w:color w:val="000000"/>
      <w:sz w:val="20"/>
      <w:szCs w:val="20"/>
      <w:u w:val="none"/>
    </w:rPr>
  </w:style>
  <w:style w:type="character" w:customStyle="1" w:styleId="97">
    <w:name w:val="font81"/>
    <w:qFormat/>
    <w:uiPriority w:val="99"/>
    <w:rPr>
      <w:rFonts w:ascii="Arial" w:hAnsi="Arial" w:cs="Arial"/>
      <w:color w:val="000000"/>
      <w:sz w:val="20"/>
      <w:szCs w:val="20"/>
      <w:u w:val="none"/>
    </w:rPr>
  </w:style>
  <w:style w:type="character" w:customStyle="1" w:styleId="98">
    <w:name w:val="style1"/>
    <w:qFormat/>
    <w:uiPriority w:val="99"/>
  </w:style>
  <w:style w:type="character" w:customStyle="1" w:styleId="99">
    <w:name w:val="font71"/>
    <w:qFormat/>
    <w:uiPriority w:val="99"/>
    <w:rPr>
      <w:rFonts w:ascii="Wingdings 2" w:hAnsi="Wingdings 2" w:cs="Wingdings 2"/>
      <w:color w:val="000000"/>
      <w:sz w:val="20"/>
      <w:szCs w:val="20"/>
      <w:u w:val="none"/>
    </w:rPr>
  </w:style>
  <w:style w:type="character" w:customStyle="1" w:styleId="100">
    <w:name w:val="font91"/>
    <w:qFormat/>
    <w:uiPriority w:val="99"/>
    <w:rPr>
      <w:rFonts w:ascii="宋体" w:hAnsi="宋体" w:eastAsia="宋体" w:cs="宋体"/>
      <w:color w:val="000000"/>
      <w:sz w:val="20"/>
      <w:szCs w:val="20"/>
      <w:u w:val="none"/>
    </w:rPr>
  </w:style>
  <w:style w:type="character" w:customStyle="1" w:styleId="101">
    <w:name w:val="font01"/>
    <w:qFormat/>
    <w:uiPriority w:val="99"/>
    <w:rPr>
      <w:rFonts w:ascii="宋体" w:hAnsi="宋体" w:eastAsia="宋体" w:cs="宋体"/>
      <w:color w:val="FF0000"/>
      <w:sz w:val="24"/>
      <w:szCs w:val="24"/>
      <w:u w:val="none"/>
    </w:rPr>
  </w:style>
  <w:style w:type="character" w:customStyle="1" w:styleId="102">
    <w:name w:val="标题 1 Char Char"/>
    <w:qFormat/>
    <w:uiPriority w:val="99"/>
    <w:rPr>
      <w:rFonts w:ascii="宋体" w:hAnsi="宋体" w:eastAsia="宋体" w:cs="宋体"/>
      <w:b/>
      <w:bCs/>
      <w:spacing w:val="-2"/>
      <w:sz w:val="24"/>
      <w:szCs w:val="24"/>
      <w:lang w:val="en-US" w:eastAsia="zh-CN"/>
    </w:rPr>
  </w:style>
  <w:style w:type="character" w:customStyle="1" w:styleId="103">
    <w:name w:val="纯文本 Char_0_0"/>
    <w:link w:val="104"/>
    <w:qFormat/>
    <w:locked/>
    <w:uiPriority w:val="99"/>
    <w:rPr>
      <w:rFonts w:ascii="宋体" w:hAnsi="Courier New" w:cs="宋体"/>
      <w:kern w:val="2"/>
      <w:sz w:val="21"/>
      <w:szCs w:val="21"/>
    </w:rPr>
  </w:style>
  <w:style w:type="paragraph" w:customStyle="1" w:styleId="104">
    <w:name w:val="纯文本_0_0"/>
    <w:basedOn w:val="105"/>
    <w:link w:val="103"/>
    <w:qFormat/>
    <w:uiPriority w:val="99"/>
    <w:rPr>
      <w:rFonts w:ascii="宋体" w:hAnsi="Courier New" w:cs="Times New Roman"/>
    </w:rPr>
  </w:style>
  <w:style w:type="paragraph" w:customStyle="1" w:styleId="105">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6">
    <w:name w:val="Style Heading 3 + Char"/>
    <w:link w:val="107"/>
    <w:qFormat/>
    <w:locked/>
    <w:uiPriority w:val="99"/>
    <w:rPr>
      <w:rFonts w:eastAsia="宋体"/>
      <w:b/>
      <w:bCs/>
      <w:kern w:val="2"/>
      <w:sz w:val="28"/>
      <w:szCs w:val="28"/>
      <w:lang w:val="en-US" w:eastAsia="zh-CN"/>
    </w:rPr>
  </w:style>
  <w:style w:type="paragraph" w:customStyle="1" w:styleId="107">
    <w:name w:val="Style Heading 3 +"/>
    <w:basedOn w:val="5"/>
    <w:link w:val="106"/>
    <w:qFormat/>
    <w:uiPriority w:val="99"/>
    <w:pPr>
      <w:adjustRightInd/>
      <w:spacing w:before="120" w:after="120" w:line="120" w:lineRule="atLeast"/>
      <w:textAlignment w:val="auto"/>
    </w:pPr>
    <w:rPr>
      <w:kern w:val="2"/>
      <w:sz w:val="28"/>
      <w:szCs w:val="28"/>
      <w:lang w:val="en-US" w:eastAsia="zh-CN"/>
    </w:rPr>
  </w:style>
  <w:style w:type="character" w:customStyle="1" w:styleId="108">
    <w:name w:val="font11"/>
    <w:qFormat/>
    <w:uiPriority w:val="99"/>
    <w:rPr>
      <w:rFonts w:ascii="宋体" w:hAnsi="宋体" w:eastAsia="宋体" w:cs="宋体"/>
      <w:color w:val="000000"/>
      <w:sz w:val="24"/>
      <w:szCs w:val="24"/>
      <w:u w:val="none"/>
    </w:rPr>
  </w:style>
  <w:style w:type="character" w:customStyle="1" w:styleId="109">
    <w:name w:val="font21"/>
    <w:qFormat/>
    <w:uiPriority w:val="99"/>
    <w:rPr>
      <w:rFonts w:ascii="楷体_GB2312" w:eastAsia="楷体_GB2312" w:cs="楷体_GB2312"/>
      <w:color w:val="000000"/>
      <w:sz w:val="24"/>
      <w:szCs w:val="24"/>
      <w:u w:val="none"/>
    </w:rPr>
  </w:style>
  <w:style w:type="character" w:customStyle="1" w:styleId="110">
    <w:name w:val="font41"/>
    <w:qFormat/>
    <w:uiPriority w:val="99"/>
    <w:rPr>
      <w:rFonts w:ascii="仿宋" w:hAnsi="仿宋" w:eastAsia="仿宋" w:cs="仿宋"/>
      <w:color w:val="000000"/>
      <w:sz w:val="20"/>
      <w:szCs w:val="20"/>
      <w:u w:val="none"/>
    </w:rPr>
  </w:style>
  <w:style w:type="paragraph" w:customStyle="1" w:styleId="111">
    <w:name w:val="Char Char Char1 Char"/>
    <w:basedOn w:val="1"/>
    <w:qFormat/>
    <w:uiPriority w:val="99"/>
  </w:style>
  <w:style w:type="paragraph" w:customStyle="1" w:styleId="112">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3">
    <w:name w:val="纯文本2"/>
    <w:basedOn w:val="1"/>
    <w:qFormat/>
    <w:uiPriority w:val="99"/>
    <w:rPr>
      <w:rFonts w:ascii="宋体" w:hAnsi="Courier New" w:cs="宋体"/>
      <w:sz w:val="28"/>
      <w:szCs w:val="28"/>
    </w:rPr>
  </w:style>
  <w:style w:type="paragraph" w:customStyle="1" w:styleId="114">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5">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7">
    <w:name w:val="1"/>
    <w:basedOn w:val="1"/>
    <w:next w:val="25"/>
    <w:qFormat/>
    <w:uiPriority w:val="99"/>
    <w:rPr>
      <w:rFonts w:ascii="宋体" w:hAnsi="Courier New" w:cs="宋体"/>
    </w:rPr>
  </w:style>
  <w:style w:type="paragraph" w:customStyle="1" w:styleId="118">
    <w:name w:val="Normal_12_0"/>
    <w:qFormat/>
    <w:uiPriority w:val="99"/>
    <w:rPr>
      <w:rFonts w:ascii="黑体" w:hAnsi="黑体" w:eastAsia="黑体" w:cs="黑体"/>
      <w:b/>
      <w:bCs/>
      <w:sz w:val="32"/>
      <w:szCs w:val="32"/>
      <w:lang w:val="en-US" w:eastAsia="zh-CN" w:bidi="ar-SA"/>
    </w:rPr>
  </w:style>
  <w:style w:type="paragraph" w:customStyle="1" w:styleId="119">
    <w:name w:val="p0"/>
    <w:basedOn w:val="1"/>
    <w:qFormat/>
    <w:uiPriority w:val="99"/>
    <w:pPr>
      <w:widowControl/>
    </w:pPr>
    <w:rPr>
      <w:kern w:val="0"/>
    </w:rPr>
  </w:style>
  <w:style w:type="paragraph" w:customStyle="1" w:styleId="120">
    <w:name w:val="列出段落1"/>
    <w:basedOn w:val="1"/>
    <w:qFormat/>
    <w:uiPriority w:val="99"/>
    <w:pPr>
      <w:ind w:firstLine="420" w:firstLineChars="200"/>
    </w:pPr>
  </w:style>
  <w:style w:type="paragraph" w:customStyle="1" w:styleId="121">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22">
    <w:name w:val="图文"/>
    <w:basedOn w:val="1"/>
    <w:qFormat/>
    <w:uiPriority w:val="99"/>
    <w:pPr>
      <w:adjustRightInd w:val="0"/>
      <w:snapToGrid w:val="0"/>
      <w:spacing w:after="50" w:line="360" w:lineRule="auto"/>
    </w:pPr>
    <w:rPr>
      <w:sz w:val="24"/>
      <w:szCs w:val="24"/>
    </w:rPr>
  </w:style>
  <w:style w:type="paragraph" w:customStyle="1" w:styleId="123">
    <w:name w:val="列出段落11"/>
    <w:basedOn w:val="1"/>
    <w:qFormat/>
    <w:uiPriority w:val="99"/>
    <w:pPr>
      <w:ind w:firstLine="200" w:firstLineChars="200"/>
    </w:pPr>
    <w:rPr>
      <w:rFonts w:ascii="Calibri" w:hAnsi="Calibri" w:cs="Calibri"/>
    </w:rPr>
  </w:style>
  <w:style w:type="paragraph" w:styleId="124">
    <w:name w:val="List Paragraph"/>
    <w:basedOn w:val="1"/>
    <w:qFormat/>
    <w:uiPriority w:val="99"/>
    <w:pPr>
      <w:ind w:firstLine="420" w:firstLineChars="200"/>
    </w:pPr>
  </w:style>
  <w:style w:type="paragraph" w:customStyle="1" w:styleId="125">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默认段落字体 Para Char Char Char Char"/>
    <w:basedOn w:val="1"/>
    <w:qFormat/>
    <w:uiPriority w:val="99"/>
  </w:style>
  <w:style w:type="paragraph" w:customStyle="1" w:styleId="127">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9">
    <w:name w:val="简单回函地址"/>
    <w:basedOn w:val="1"/>
    <w:qFormat/>
    <w:uiPriority w:val="99"/>
  </w:style>
  <w:style w:type="paragraph" w:customStyle="1" w:styleId="130">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1">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2">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3">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4">
    <w:name w:val="正文_0"/>
    <w:qFormat/>
    <w:uiPriority w:val="99"/>
    <w:rPr>
      <w:rFonts w:ascii="Times New Roman" w:hAnsi="Times New Roman" w:eastAsia="宋体" w:cs="Times New Roman"/>
      <w:sz w:val="21"/>
      <w:szCs w:val="21"/>
      <w:lang w:val="en-US" w:eastAsia="zh-CN" w:bidi="ar-SA"/>
    </w:rPr>
  </w:style>
  <w:style w:type="paragraph" w:customStyle="1" w:styleId="135">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6">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7">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8">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9">
    <w:name w:val="_Style 17"/>
    <w:basedOn w:val="1"/>
    <w:next w:val="124"/>
    <w:qFormat/>
    <w:uiPriority w:val="99"/>
    <w:pPr>
      <w:spacing w:line="240" w:lineRule="auto"/>
      <w:ind w:firstLine="420" w:firstLineChars="200"/>
    </w:pPr>
    <w:rPr>
      <w:rFonts w:ascii="Calibri" w:hAnsi="Calibri" w:eastAsia="宋体" w:cs="Times New Roman"/>
      <w:sz w:val="21"/>
    </w:rPr>
  </w:style>
  <w:style w:type="paragraph" w:customStyle="1" w:styleId="14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23554</Words>
  <Characters>24127</Characters>
  <Lines>207</Lines>
  <Paragraphs>58</Paragraphs>
  <TotalTime>137</TotalTime>
  <ScaleCrop>false</ScaleCrop>
  <LinksUpToDate>false</LinksUpToDate>
  <CharactersWithSpaces>25429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张小林</cp:lastModifiedBy>
  <cp:lastPrinted>2022-10-18T07:21:00Z</cp:lastPrinted>
  <dcterms:modified xsi:type="dcterms:W3CDTF">2023-06-12T01:09:36Z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20C02A1BF7264DDCB5DB42220C6A783A_13</vt:lpwstr>
  </property>
</Properties>
</file>